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B2D" w:rsidRDefault="002D2B2D" w:rsidP="002D2B2D">
      <w:pPr>
        <w:pStyle w:val="Default"/>
      </w:pPr>
    </w:p>
    <w:p w:rsidR="002D2B2D" w:rsidRDefault="002D2B2D" w:rsidP="002D2B2D">
      <w:pPr>
        <w:jc w:val="center"/>
        <w:rPr>
          <w:sz w:val="32"/>
          <w:szCs w:val="32"/>
        </w:rPr>
      </w:pPr>
    </w:p>
    <w:p w:rsidR="002D2B2D" w:rsidRDefault="002D2B2D" w:rsidP="002D2B2D">
      <w:pPr>
        <w:jc w:val="center"/>
        <w:rPr>
          <w:sz w:val="32"/>
          <w:szCs w:val="32"/>
        </w:rPr>
      </w:pPr>
    </w:p>
    <w:p w:rsidR="002D2B2D" w:rsidRDefault="002D2B2D" w:rsidP="002D2B2D">
      <w:pPr>
        <w:jc w:val="center"/>
        <w:rPr>
          <w:sz w:val="32"/>
          <w:szCs w:val="32"/>
        </w:rPr>
      </w:pPr>
    </w:p>
    <w:p w:rsidR="003D2286" w:rsidRDefault="003D2286" w:rsidP="003D2286">
      <w:pPr>
        <w:jc w:val="center"/>
        <w:rPr>
          <w:sz w:val="32"/>
          <w:szCs w:val="32"/>
        </w:rPr>
      </w:pPr>
      <w:r>
        <w:rPr>
          <w:sz w:val="32"/>
          <w:szCs w:val="32"/>
        </w:rPr>
        <w:t>Corrigendum to the RFP</w:t>
      </w:r>
      <w:r w:rsidR="002D2B2D">
        <w:rPr>
          <w:sz w:val="32"/>
          <w:szCs w:val="32"/>
        </w:rPr>
        <w:t xml:space="preserve"> </w:t>
      </w:r>
    </w:p>
    <w:p w:rsidR="003D2286" w:rsidRDefault="003D2286" w:rsidP="003D2286">
      <w:pPr>
        <w:jc w:val="center"/>
        <w:rPr>
          <w:sz w:val="32"/>
          <w:szCs w:val="32"/>
        </w:rPr>
      </w:pPr>
      <w:r>
        <w:rPr>
          <w:sz w:val="32"/>
          <w:szCs w:val="32"/>
        </w:rPr>
        <w:t>F</w:t>
      </w:r>
      <w:r w:rsidR="002D2B2D">
        <w:rPr>
          <w:sz w:val="32"/>
          <w:szCs w:val="32"/>
        </w:rPr>
        <w:t>or</w:t>
      </w:r>
    </w:p>
    <w:p w:rsidR="0013480D" w:rsidRPr="0013480D" w:rsidRDefault="002D2B2D" w:rsidP="0013480D">
      <w:pPr>
        <w:jc w:val="center"/>
        <w:rPr>
          <w:sz w:val="32"/>
          <w:szCs w:val="32"/>
        </w:rPr>
      </w:pPr>
      <w:r>
        <w:rPr>
          <w:sz w:val="32"/>
          <w:szCs w:val="32"/>
        </w:rPr>
        <w:t xml:space="preserve"> </w:t>
      </w:r>
      <w:r w:rsidR="003D2286" w:rsidRPr="003D2286">
        <w:rPr>
          <w:sz w:val="32"/>
          <w:szCs w:val="32"/>
        </w:rPr>
        <w:t xml:space="preserve">Selection of </w:t>
      </w:r>
      <w:r w:rsidR="0013480D" w:rsidRPr="0013480D">
        <w:rPr>
          <w:sz w:val="32"/>
          <w:szCs w:val="32"/>
        </w:rPr>
        <w:t>Software Solution Provider</w:t>
      </w:r>
    </w:p>
    <w:p w:rsidR="0013480D" w:rsidRPr="0013480D" w:rsidRDefault="0013480D" w:rsidP="0013480D">
      <w:pPr>
        <w:jc w:val="center"/>
        <w:rPr>
          <w:sz w:val="32"/>
          <w:szCs w:val="32"/>
        </w:rPr>
      </w:pPr>
      <w:r>
        <w:rPr>
          <w:sz w:val="32"/>
          <w:szCs w:val="32"/>
        </w:rPr>
        <w:t xml:space="preserve"> </w:t>
      </w:r>
      <w:proofErr w:type="gramStart"/>
      <w:r>
        <w:rPr>
          <w:sz w:val="32"/>
          <w:szCs w:val="32"/>
        </w:rPr>
        <w:t>for</w:t>
      </w:r>
      <w:proofErr w:type="gramEnd"/>
    </w:p>
    <w:p w:rsidR="0013480D" w:rsidRPr="0013480D" w:rsidRDefault="0013480D" w:rsidP="0013480D">
      <w:pPr>
        <w:jc w:val="center"/>
        <w:rPr>
          <w:sz w:val="32"/>
          <w:szCs w:val="32"/>
        </w:rPr>
      </w:pPr>
      <w:r w:rsidRPr="0013480D">
        <w:rPr>
          <w:sz w:val="32"/>
          <w:szCs w:val="32"/>
        </w:rPr>
        <w:t>Development of State Resident Data Hub</w:t>
      </w:r>
      <w:r>
        <w:rPr>
          <w:sz w:val="32"/>
          <w:szCs w:val="32"/>
        </w:rPr>
        <w:t xml:space="preserve"> (SRDH)</w:t>
      </w:r>
    </w:p>
    <w:p w:rsidR="003D2286" w:rsidRPr="003D2286" w:rsidRDefault="0013480D" w:rsidP="0013480D">
      <w:pPr>
        <w:jc w:val="center"/>
        <w:rPr>
          <w:sz w:val="32"/>
          <w:szCs w:val="32"/>
        </w:rPr>
      </w:pPr>
      <w:r w:rsidRPr="0013480D">
        <w:rPr>
          <w:sz w:val="32"/>
          <w:szCs w:val="32"/>
        </w:rPr>
        <w:t>Application Framework</w:t>
      </w:r>
    </w:p>
    <w:p w:rsidR="00235984" w:rsidRDefault="000B1048" w:rsidP="002D2B2D">
      <w:pPr>
        <w:jc w:val="center"/>
        <w:rPr>
          <w:sz w:val="32"/>
          <w:szCs w:val="32"/>
        </w:rPr>
      </w:pPr>
      <w:r>
        <w:rPr>
          <w:sz w:val="32"/>
          <w:szCs w:val="32"/>
        </w:rPr>
        <w:t xml:space="preserve">Dated </w:t>
      </w:r>
      <w:r w:rsidR="007341A6">
        <w:rPr>
          <w:sz w:val="32"/>
          <w:szCs w:val="32"/>
        </w:rPr>
        <w:t>29</w:t>
      </w:r>
      <w:r w:rsidRPr="000B1048">
        <w:rPr>
          <w:sz w:val="32"/>
          <w:szCs w:val="32"/>
          <w:vertAlign w:val="superscript"/>
        </w:rPr>
        <w:t>th</w:t>
      </w:r>
      <w:r>
        <w:rPr>
          <w:sz w:val="32"/>
          <w:szCs w:val="32"/>
        </w:rPr>
        <w:t xml:space="preserve"> </w:t>
      </w:r>
      <w:r w:rsidR="0013480D">
        <w:rPr>
          <w:sz w:val="32"/>
          <w:szCs w:val="32"/>
        </w:rPr>
        <w:t>September</w:t>
      </w:r>
      <w:r>
        <w:rPr>
          <w:sz w:val="32"/>
          <w:szCs w:val="32"/>
        </w:rPr>
        <w:t>, 2011</w:t>
      </w:r>
    </w:p>
    <w:p w:rsidR="002D2B2D" w:rsidRDefault="002D2B2D" w:rsidP="002D2B2D">
      <w:pPr>
        <w:jc w:val="center"/>
        <w:rPr>
          <w:sz w:val="32"/>
          <w:szCs w:val="32"/>
        </w:rPr>
      </w:pPr>
    </w:p>
    <w:p w:rsidR="002D2B2D" w:rsidRDefault="002D2B2D" w:rsidP="002D2B2D">
      <w:pPr>
        <w:jc w:val="center"/>
        <w:rPr>
          <w:sz w:val="32"/>
          <w:szCs w:val="32"/>
        </w:rPr>
      </w:pPr>
    </w:p>
    <w:p w:rsidR="002D2B2D" w:rsidRDefault="002D2B2D" w:rsidP="002D2B2D">
      <w:pPr>
        <w:jc w:val="center"/>
        <w:rPr>
          <w:sz w:val="32"/>
          <w:szCs w:val="32"/>
        </w:rPr>
      </w:pPr>
    </w:p>
    <w:p w:rsidR="00A368E4" w:rsidRDefault="00A368E4" w:rsidP="002D2B2D">
      <w:pPr>
        <w:spacing w:after="0"/>
        <w:jc w:val="both"/>
        <w:rPr>
          <w:b/>
          <w:bCs/>
          <w:sz w:val="23"/>
          <w:szCs w:val="23"/>
        </w:rPr>
      </w:pPr>
    </w:p>
    <w:p w:rsidR="002D2B2D" w:rsidRDefault="002D2B2D" w:rsidP="00693EF4">
      <w:pPr>
        <w:rPr>
          <w:b/>
          <w:bCs/>
          <w:sz w:val="23"/>
          <w:szCs w:val="23"/>
        </w:rPr>
      </w:pPr>
      <w:r>
        <w:rPr>
          <w:b/>
          <w:bCs/>
          <w:sz w:val="23"/>
          <w:szCs w:val="23"/>
        </w:rPr>
        <w:lastRenderedPageBreak/>
        <w:t xml:space="preserve">Consequent upon the pre bid conference that was held on </w:t>
      </w:r>
      <w:r w:rsidR="00035B8B">
        <w:rPr>
          <w:b/>
          <w:bCs/>
          <w:sz w:val="23"/>
          <w:szCs w:val="23"/>
        </w:rPr>
        <w:t>26</w:t>
      </w:r>
      <w:r w:rsidRPr="002D2B2D">
        <w:rPr>
          <w:b/>
          <w:bCs/>
          <w:sz w:val="23"/>
          <w:szCs w:val="23"/>
          <w:vertAlign w:val="superscript"/>
        </w:rPr>
        <w:t>th</w:t>
      </w:r>
      <w:r>
        <w:rPr>
          <w:b/>
          <w:bCs/>
          <w:sz w:val="23"/>
          <w:szCs w:val="23"/>
        </w:rPr>
        <w:t xml:space="preserve"> </w:t>
      </w:r>
      <w:r w:rsidR="00035B8B">
        <w:rPr>
          <w:b/>
          <w:bCs/>
          <w:sz w:val="23"/>
          <w:szCs w:val="23"/>
        </w:rPr>
        <w:t>September</w:t>
      </w:r>
      <w:r>
        <w:rPr>
          <w:b/>
          <w:bCs/>
          <w:sz w:val="23"/>
          <w:szCs w:val="23"/>
        </w:rPr>
        <w:t xml:space="preserve"> 2011, corrigendum to the</w:t>
      </w:r>
      <w:r w:rsidRPr="002D2B2D">
        <w:rPr>
          <w:b/>
          <w:bCs/>
          <w:sz w:val="23"/>
          <w:szCs w:val="23"/>
        </w:rPr>
        <w:t xml:space="preserve"> RFP for Selection of </w:t>
      </w:r>
      <w:r w:rsidR="00035B8B" w:rsidRPr="00035B8B">
        <w:rPr>
          <w:b/>
          <w:bCs/>
          <w:sz w:val="23"/>
          <w:szCs w:val="23"/>
        </w:rPr>
        <w:t xml:space="preserve">Software Solution </w:t>
      </w:r>
      <w:r w:rsidR="00035B8B">
        <w:rPr>
          <w:b/>
          <w:bCs/>
          <w:sz w:val="23"/>
          <w:szCs w:val="23"/>
        </w:rPr>
        <w:t>P</w:t>
      </w:r>
      <w:r w:rsidR="00035B8B" w:rsidRPr="00035B8B">
        <w:rPr>
          <w:b/>
          <w:bCs/>
          <w:sz w:val="23"/>
          <w:szCs w:val="23"/>
        </w:rPr>
        <w:t>rovider</w:t>
      </w:r>
      <w:r w:rsidR="00035B8B">
        <w:rPr>
          <w:b/>
          <w:bCs/>
          <w:sz w:val="23"/>
          <w:szCs w:val="23"/>
        </w:rPr>
        <w:t xml:space="preserve"> </w:t>
      </w:r>
      <w:r w:rsidR="00035B8B" w:rsidRPr="00035B8B">
        <w:rPr>
          <w:b/>
          <w:bCs/>
          <w:sz w:val="23"/>
          <w:szCs w:val="23"/>
        </w:rPr>
        <w:t>for Development of State Resident Data Hub</w:t>
      </w:r>
      <w:r w:rsidR="00035B8B">
        <w:rPr>
          <w:b/>
          <w:bCs/>
          <w:sz w:val="23"/>
          <w:szCs w:val="23"/>
        </w:rPr>
        <w:t xml:space="preserve"> (SRDH) </w:t>
      </w:r>
      <w:r w:rsidR="00035B8B" w:rsidRPr="00035B8B">
        <w:rPr>
          <w:b/>
          <w:bCs/>
          <w:sz w:val="23"/>
          <w:szCs w:val="23"/>
        </w:rPr>
        <w:t>Application Framework</w:t>
      </w:r>
      <w:r>
        <w:rPr>
          <w:b/>
          <w:bCs/>
          <w:sz w:val="23"/>
          <w:szCs w:val="23"/>
        </w:rPr>
        <w:t xml:space="preserve"> is issued.</w:t>
      </w:r>
      <w:r w:rsidR="008969EB">
        <w:rPr>
          <w:b/>
          <w:bCs/>
          <w:sz w:val="23"/>
          <w:szCs w:val="23"/>
        </w:rPr>
        <w:t xml:space="preserve"> </w:t>
      </w:r>
      <w:r>
        <w:rPr>
          <w:b/>
          <w:bCs/>
          <w:sz w:val="23"/>
          <w:szCs w:val="23"/>
        </w:rPr>
        <w:t>T</w:t>
      </w:r>
      <w:r w:rsidRPr="002D2B2D">
        <w:rPr>
          <w:b/>
          <w:bCs/>
          <w:sz w:val="23"/>
          <w:szCs w:val="23"/>
        </w:rPr>
        <w:t>he last date for submission of Bid</w:t>
      </w:r>
      <w:r>
        <w:rPr>
          <w:b/>
          <w:bCs/>
          <w:sz w:val="23"/>
          <w:szCs w:val="23"/>
        </w:rPr>
        <w:t xml:space="preserve"> and other dates</w:t>
      </w:r>
      <w:r w:rsidRPr="002D2B2D">
        <w:rPr>
          <w:b/>
          <w:bCs/>
          <w:sz w:val="23"/>
          <w:szCs w:val="23"/>
        </w:rPr>
        <w:t xml:space="preserve"> ha</w:t>
      </w:r>
      <w:r>
        <w:rPr>
          <w:b/>
          <w:bCs/>
          <w:sz w:val="23"/>
          <w:szCs w:val="23"/>
        </w:rPr>
        <w:t>ve</w:t>
      </w:r>
      <w:r w:rsidRPr="002D2B2D">
        <w:rPr>
          <w:b/>
          <w:bCs/>
          <w:sz w:val="23"/>
          <w:szCs w:val="23"/>
        </w:rPr>
        <w:t xml:space="preserve"> been extended</w:t>
      </w:r>
      <w:r>
        <w:rPr>
          <w:b/>
          <w:bCs/>
          <w:sz w:val="23"/>
          <w:szCs w:val="23"/>
        </w:rPr>
        <w:t xml:space="preserve"> as follows:</w:t>
      </w:r>
    </w:p>
    <w:p w:rsidR="002D2B2D" w:rsidRDefault="002D2B2D" w:rsidP="002D2B2D">
      <w:pPr>
        <w:spacing w:after="0"/>
        <w:jc w:val="both"/>
        <w:rPr>
          <w:b/>
          <w:bCs/>
          <w:sz w:val="23"/>
          <w:szCs w:val="23"/>
        </w:rPr>
      </w:pPr>
    </w:p>
    <w:tbl>
      <w:tblPr>
        <w:tblW w:w="9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8"/>
        <w:gridCol w:w="4259"/>
      </w:tblGrid>
      <w:tr w:rsidR="002D2B2D" w:rsidRPr="00A5222E" w:rsidTr="002D2B2D">
        <w:trPr>
          <w:trHeight w:val="348"/>
        </w:trPr>
        <w:tc>
          <w:tcPr>
            <w:tcW w:w="4878" w:type="dxa"/>
          </w:tcPr>
          <w:p w:rsidR="002D2B2D" w:rsidRPr="002D2B2D" w:rsidRDefault="002D2B2D" w:rsidP="002D2B2D">
            <w:pPr>
              <w:spacing w:after="0"/>
              <w:jc w:val="both"/>
              <w:rPr>
                <w:b/>
                <w:bCs/>
                <w:sz w:val="23"/>
                <w:szCs w:val="23"/>
              </w:rPr>
            </w:pPr>
            <w:r w:rsidRPr="002D2B2D">
              <w:rPr>
                <w:b/>
                <w:bCs/>
                <w:sz w:val="23"/>
                <w:szCs w:val="23"/>
              </w:rPr>
              <w:t>Last date for sale of Tender Document</w:t>
            </w:r>
          </w:p>
        </w:tc>
        <w:tc>
          <w:tcPr>
            <w:tcW w:w="4259" w:type="dxa"/>
          </w:tcPr>
          <w:p w:rsidR="002D2B2D" w:rsidRPr="002D2B2D" w:rsidRDefault="00035B8B" w:rsidP="002D2B2D">
            <w:pPr>
              <w:spacing w:after="0"/>
              <w:jc w:val="both"/>
              <w:rPr>
                <w:b/>
                <w:bCs/>
                <w:sz w:val="23"/>
                <w:szCs w:val="23"/>
              </w:rPr>
            </w:pPr>
            <w:r>
              <w:rPr>
                <w:b/>
                <w:bCs/>
                <w:sz w:val="23"/>
                <w:szCs w:val="23"/>
              </w:rPr>
              <w:t>13/10</w:t>
            </w:r>
            <w:r w:rsidR="002D2B2D" w:rsidRPr="002D2B2D">
              <w:rPr>
                <w:b/>
                <w:bCs/>
                <w:sz w:val="23"/>
                <w:szCs w:val="23"/>
              </w:rPr>
              <w:t xml:space="preserve">/2011    1700 </w:t>
            </w:r>
            <w:proofErr w:type="spellStart"/>
            <w:r w:rsidR="002D2B2D" w:rsidRPr="002D2B2D">
              <w:rPr>
                <w:b/>
                <w:bCs/>
                <w:sz w:val="23"/>
                <w:szCs w:val="23"/>
              </w:rPr>
              <w:t>Hrs</w:t>
            </w:r>
            <w:proofErr w:type="spellEnd"/>
          </w:p>
        </w:tc>
      </w:tr>
      <w:tr w:rsidR="002D2B2D" w:rsidRPr="00A5222E" w:rsidTr="002D2B2D">
        <w:trPr>
          <w:trHeight w:val="348"/>
        </w:trPr>
        <w:tc>
          <w:tcPr>
            <w:tcW w:w="4878" w:type="dxa"/>
          </w:tcPr>
          <w:p w:rsidR="002D2B2D" w:rsidRPr="002D2B2D" w:rsidRDefault="002D2B2D" w:rsidP="002D2B2D">
            <w:pPr>
              <w:spacing w:after="0"/>
              <w:jc w:val="both"/>
              <w:rPr>
                <w:b/>
                <w:bCs/>
                <w:sz w:val="23"/>
                <w:szCs w:val="23"/>
              </w:rPr>
            </w:pPr>
            <w:r w:rsidRPr="002D2B2D">
              <w:rPr>
                <w:b/>
                <w:bCs/>
                <w:sz w:val="23"/>
                <w:szCs w:val="23"/>
              </w:rPr>
              <w:t>Date &amp; Time of Submission of Bids</w:t>
            </w:r>
          </w:p>
          <w:p w:rsidR="002D2B2D" w:rsidRPr="002D2B2D" w:rsidRDefault="002D2B2D" w:rsidP="002D2B2D">
            <w:pPr>
              <w:spacing w:after="0"/>
              <w:jc w:val="both"/>
              <w:rPr>
                <w:b/>
                <w:bCs/>
                <w:sz w:val="23"/>
                <w:szCs w:val="23"/>
              </w:rPr>
            </w:pPr>
            <w:r w:rsidRPr="002D2B2D">
              <w:rPr>
                <w:b/>
                <w:bCs/>
                <w:sz w:val="23"/>
                <w:szCs w:val="23"/>
              </w:rPr>
              <w:t>Bids will not be accepted after due date &amp; time.</w:t>
            </w:r>
          </w:p>
        </w:tc>
        <w:tc>
          <w:tcPr>
            <w:tcW w:w="4259" w:type="dxa"/>
          </w:tcPr>
          <w:p w:rsidR="002D2B2D" w:rsidRPr="002D2B2D" w:rsidRDefault="00035B8B" w:rsidP="002D2B2D">
            <w:pPr>
              <w:spacing w:after="0"/>
              <w:jc w:val="both"/>
              <w:rPr>
                <w:b/>
                <w:bCs/>
                <w:sz w:val="23"/>
                <w:szCs w:val="23"/>
              </w:rPr>
            </w:pPr>
            <w:r>
              <w:rPr>
                <w:b/>
                <w:bCs/>
                <w:sz w:val="23"/>
                <w:szCs w:val="23"/>
              </w:rPr>
              <w:t>14/10</w:t>
            </w:r>
            <w:r w:rsidR="002D2B2D" w:rsidRPr="002D2B2D">
              <w:rPr>
                <w:b/>
                <w:bCs/>
                <w:sz w:val="23"/>
                <w:szCs w:val="23"/>
              </w:rPr>
              <w:t xml:space="preserve">/2011    1500 </w:t>
            </w:r>
            <w:proofErr w:type="spellStart"/>
            <w:r w:rsidR="002D2B2D" w:rsidRPr="002D2B2D">
              <w:rPr>
                <w:b/>
                <w:bCs/>
                <w:sz w:val="23"/>
                <w:szCs w:val="23"/>
              </w:rPr>
              <w:t>Hrs</w:t>
            </w:r>
            <w:proofErr w:type="spellEnd"/>
          </w:p>
        </w:tc>
      </w:tr>
      <w:tr w:rsidR="002D2B2D" w:rsidRPr="00A5222E" w:rsidTr="002D2B2D">
        <w:trPr>
          <w:trHeight w:val="348"/>
        </w:trPr>
        <w:tc>
          <w:tcPr>
            <w:tcW w:w="4878" w:type="dxa"/>
          </w:tcPr>
          <w:p w:rsidR="002D2B2D" w:rsidRPr="002D2B2D" w:rsidRDefault="002D2B2D" w:rsidP="002D2B2D">
            <w:pPr>
              <w:spacing w:after="0"/>
              <w:jc w:val="both"/>
              <w:rPr>
                <w:b/>
                <w:bCs/>
                <w:sz w:val="23"/>
                <w:szCs w:val="23"/>
              </w:rPr>
            </w:pPr>
            <w:r w:rsidRPr="002D2B2D">
              <w:rPr>
                <w:b/>
                <w:bCs/>
                <w:sz w:val="23"/>
                <w:szCs w:val="23"/>
              </w:rPr>
              <w:t xml:space="preserve">Date &amp; Time of opening of </w:t>
            </w:r>
            <w:r w:rsidR="004C3158">
              <w:rPr>
                <w:b/>
                <w:bCs/>
                <w:sz w:val="23"/>
                <w:szCs w:val="23"/>
              </w:rPr>
              <w:t xml:space="preserve">Technical </w:t>
            </w:r>
            <w:r w:rsidRPr="002D2B2D">
              <w:rPr>
                <w:b/>
                <w:bCs/>
                <w:sz w:val="23"/>
                <w:szCs w:val="23"/>
              </w:rPr>
              <w:t xml:space="preserve">Bids </w:t>
            </w:r>
          </w:p>
        </w:tc>
        <w:tc>
          <w:tcPr>
            <w:tcW w:w="4259" w:type="dxa"/>
          </w:tcPr>
          <w:p w:rsidR="002D2B2D" w:rsidRPr="002D2B2D" w:rsidRDefault="00035B8B" w:rsidP="002D2B2D">
            <w:pPr>
              <w:spacing w:after="0"/>
              <w:jc w:val="both"/>
              <w:rPr>
                <w:b/>
                <w:bCs/>
                <w:sz w:val="23"/>
                <w:szCs w:val="23"/>
              </w:rPr>
            </w:pPr>
            <w:r>
              <w:rPr>
                <w:b/>
                <w:bCs/>
                <w:sz w:val="23"/>
                <w:szCs w:val="23"/>
              </w:rPr>
              <w:t>14/10</w:t>
            </w:r>
            <w:r w:rsidR="002D2B2D" w:rsidRPr="002D2B2D">
              <w:rPr>
                <w:b/>
                <w:bCs/>
                <w:sz w:val="23"/>
                <w:szCs w:val="23"/>
              </w:rPr>
              <w:t xml:space="preserve">/2011    1600 </w:t>
            </w:r>
            <w:proofErr w:type="spellStart"/>
            <w:r w:rsidR="002D2B2D" w:rsidRPr="002D2B2D">
              <w:rPr>
                <w:b/>
                <w:bCs/>
                <w:sz w:val="23"/>
                <w:szCs w:val="23"/>
              </w:rPr>
              <w:t>Hrs</w:t>
            </w:r>
            <w:proofErr w:type="spellEnd"/>
          </w:p>
        </w:tc>
      </w:tr>
    </w:tbl>
    <w:p w:rsidR="002D2B2D" w:rsidRDefault="002D2B2D" w:rsidP="002D2B2D">
      <w:pPr>
        <w:spacing w:after="0"/>
        <w:jc w:val="both"/>
        <w:rPr>
          <w:b/>
          <w:bCs/>
          <w:sz w:val="23"/>
          <w:szCs w:val="23"/>
        </w:rPr>
      </w:pP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1798"/>
        <w:gridCol w:w="1887"/>
        <w:gridCol w:w="4966"/>
        <w:gridCol w:w="5233"/>
      </w:tblGrid>
      <w:tr w:rsidR="00393D3C" w:rsidTr="00D416E0">
        <w:trPr>
          <w:trHeight w:val="244"/>
        </w:trPr>
        <w:tc>
          <w:tcPr>
            <w:tcW w:w="534" w:type="dxa"/>
          </w:tcPr>
          <w:p w:rsidR="002D2B2D" w:rsidRDefault="002D2B2D" w:rsidP="002A3EA3">
            <w:pPr>
              <w:pStyle w:val="Default"/>
              <w:spacing w:after="100" w:afterAutospacing="1"/>
              <w:rPr>
                <w:sz w:val="22"/>
                <w:szCs w:val="22"/>
              </w:rPr>
            </w:pPr>
            <w:proofErr w:type="spellStart"/>
            <w:r>
              <w:rPr>
                <w:b/>
                <w:bCs/>
                <w:sz w:val="22"/>
                <w:szCs w:val="22"/>
              </w:rPr>
              <w:t>Sl</w:t>
            </w:r>
            <w:proofErr w:type="spellEnd"/>
            <w:r>
              <w:rPr>
                <w:b/>
                <w:bCs/>
                <w:sz w:val="22"/>
                <w:szCs w:val="22"/>
              </w:rPr>
              <w:t xml:space="preserve"> No </w:t>
            </w:r>
          </w:p>
        </w:tc>
        <w:tc>
          <w:tcPr>
            <w:tcW w:w="1798" w:type="dxa"/>
          </w:tcPr>
          <w:p w:rsidR="002D2B2D" w:rsidRDefault="002D2B2D" w:rsidP="002A3EA3">
            <w:pPr>
              <w:pStyle w:val="Default"/>
              <w:spacing w:after="100" w:afterAutospacing="1"/>
              <w:rPr>
                <w:sz w:val="22"/>
                <w:szCs w:val="22"/>
              </w:rPr>
            </w:pPr>
            <w:r>
              <w:rPr>
                <w:b/>
                <w:bCs/>
                <w:sz w:val="22"/>
                <w:szCs w:val="22"/>
              </w:rPr>
              <w:t>Para no</w:t>
            </w:r>
            <w:r w:rsidR="001D4CBE">
              <w:rPr>
                <w:b/>
                <w:bCs/>
                <w:sz w:val="22"/>
                <w:szCs w:val="22"/>
              </w:rPr>
              <w:t>, Section &amp; Vol.</w:t>
            </w:r>
            <w:r>
              <w:rPr>
                <w:b/>
                <w:bCs/>
                <w:sz w:val="22"/>
                <w:szCs w:val="22"/>
              </w:rPr>
              <w:t xml:space="preserve"> of the RF</w:t>
            </w:r>
            <w:r w:rsidR="001D4CBE">
              <w:rPr>
                <w:b/>
                <w:bCs/>
                <w:sz w:val="22"/>
                <w:szCs w:val="22"/>
              </w:rPr>
              <w:t>P</w:t>
            </w:r>
          </w:p>
        </w:tc>
        <w:tc>
          <w:tcPr>
            <w:tcW w:w="1887" w:type="dxa"/>
          </w:tcPr>
          <w:p w:rsidR="002D2B2D" w:rsidRDefault="002D2B2D" w:rsidP="00C52DA1">
            <w:pPr>
              <w:pStyle w:val="Default"/>
              <w:spacing w:after="100" w:afterAutospacing="1"/>
              <w:rPr>
                <w:sz w:val="22"/>
                <w:szCs w:val="22"/>
              </w:rPr>
            </w:pPr>
            <w:r>
              <w:rPr>
                <w:b/>
                <w:bCs/>
                <w:sz w:val="22"/>
                <w:szCs w:val="22"/>
              </w:rPr>
              <w:t xml:space="preserve">Particulars </w:t>
            </w:r>
          </w:p>
        </w:tc>
        <w:tc>
          <w:tcPr>
            <w:tcW w:w="4966" w:type="dxa"/>
          </w:tcPr>
          <w:p w:rsidR="002D2B2D" w:rsidRDefault="002D2B2D" w:rsidP="002A3EA3">
            <w:pPr>
              <w:pStyle w:val="Default"/>
              <w:spacing w:after="100" w:afterAutospacing="1"/>
              <w:rPr>
                <w:sz w:val="22"/>
                <w:szCs w:val="22"/>
              </w:rPr>
            </w:pPr>
            <w:r>
              <w:rPr>
                <w:b/>
                <w:bCs/>
                <w:sz w:val="22"/>
                <w:szCs w:val="22"/>
              </w:rPr>
              <w:t xml:space="preserve">Existing clause/provision </w:t>
            </w:r>
          </w:p>
        </w:tc>
        <w:tc>
          <w:tcPr>
            <w:tcW w:w="5233" w:type="dxa"/>
          </w:tcPr>
          <w:p w:rsidR="002D2B2D" w:rsidRDefault="002D2B2D" w:rsidP="002A3EA3">
            <w:pPr>
              <w:pStyle w:val="Default"/>
              <w:rPr>
                <w:sz w:val="22"/>
                <w:szCs w:val="22"/>
              </w:rPr>
            </w:pPr>
            <w:r>
              <w:rPr>
                <w:b/>
                <w:bCs/>
                <w:sz w:val="22"/>
                <w:szCs w:val="22"/>
              </w:rPr>
              <w:t xml:space="preserve">Revised clause/provision </w:t>
            </w:r>
          </w:p>
        </w:tc>
      </w:tr>
      <w:tr w:rsidR="00393D3C" w:rsidRPr="00C90BBF" w:rsidTr="00D416E0">
        <w:trPr>
          <w:trHeight w:val="971"/>
        </w:trPr>
        <w:tc>
          <w:tcPr>
            <w:tcW w:w="534" w:type="dxa"/>
          </w:tcPr>
          <w:p w:rsidR="00190227" w:rsidRPr="00C90BBF" w:rsidRDefault="00727258" w:rsidP="002A3EA3">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1</w:t>
            </w:r>
          </w:p>
        </w:tc>
        <w:tc>
          <w:tcPr>
            <w:tcW w:w="1798" w:type="dxa"/>
          </w:tcPr>
          <w:p w:rsidR="00190227" w:rsidRPr="00C90BBF" w:rsidRDefault="003F79CC" w:rsidP="00827059">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FORM TECH-3</w:t>
            </w:r>
            <w:r w:rsidR="00827059" w:rsidRPr="00C90BBF">
              <w:rPr>
                <w:rFonts w:asciiTheme="minorHAnsi" w:hAnsiTheme="minorHAnsi" w:cstheme="minorHAnsi"/>
                <w:sz w:val="22"/>
                <w:szCs w:val="22"/>
              </w:rPr>
              <w:t>, Section 4,</w:t>
            </w:r>
            <w:r w:rsidR="002A3EA3" w:rsidRPr="00C90BBF">
              <w:rPr>
                <w:rFonts w:asciiTheme="minorHAnsi" w:hAnsiTheme="minorHAnsi" w:cstheme="minorHAnsi"/>
                <w:sz w:val="22"/>
                <w:szCs w:val="22"/>
              </w:rPr>
              <w:t xml:space="preserve"> </w:t>
            </w:r>
            <w:proofErr w:type="spellStart"/>
            <w:r w:rsidR="002A3EA3" w:rsidRPr="00C90BBF">
              <w:rPr>
                <w:rFonts w:asciiTheme="minorHAnsi" w:hAnsiTheme="minorHAnsi" w:cstheme="minorHAnsi"/>
                <w:sz w:val="22"/>
                <w:szCs w:val="22"/>
              </w:rPr>
              <w:t>Vol</w:t>
            </w:r>
            <w:proofErr w:type="spellEnd"/>
            <w:r w:rsidR="00827059" w:rsidRPr="00C90BBF">
              <w:rPr>
                <w:rFonts w:asciiTheme="minorHAnsi" w:hAnsiTheme="minorHAnsi" w:cstheme="minorHAnsi"/>
                <w:sz w:val="22"/>
                <w:szCs w:val="22"/>
              </w:rPr>
              <w:t xml:space="preserve"> -</w:t>
            </w:r>
            <w:r w:rsidR="002A3EA3" w:rsidRPr="00C90BBF">
              <w:rPr>
                <w:rFonts w:asciiTheme="minorHAnsi" w:hAnsiTheme="minorHAnsi" w:cstheme="minorHAnsi"/>
                <w:sz w:val="22"/>
                <w:szCs w:val="22"/>
              </w:rPr>
              <w:t>I</w:t>
            </w:r>
          </w:p>
        </w:tc>
        <w:tc>
          <w:tcPr>
            <w:tcW w:w="1887" w:type="dxa"/>
          </w:tcPr>
          <w:p w:rsidR="00190227" w:rsidRPr="00C90BBF" w:rsidRDefault="003F79CC" w:rsidP="00C52DA1">
            <w:pPr>
              <w:spacing w:after="100" w:afterAutospacing="1" w:line="240" w:lineRule="auto"/>
              <w:rPr>
                <w:rFonts w:cstheme="minorHAnsi"/>
                <w:lang w:val="en-GB"/>
              </w:rPr>
            </w:pPr>
            <w:r w:rsidRPr="00C90BBF">
              <w:rPr>
                <w:rFonts w:cstheme="minorHAnsi"/>
                <w:iCs/>
              </w:rPr>
              <w:t>Solution Proposed for Application</w:t>
            </w:r>
          </w:p>
        </w:tc>
        <w:tc>
          <w:tcPr>
            <w:tcW w:w="4966" w:type="dxa"/>
          </w:tcPr>
          <w:p w:rsidR="00190227" w:rsidRPr="00C90BBF" w:rsidRDefault="003F79CC" w:rsidP="002A3EA3">
            <w:pPr>
              <w:spacing w:after="100" w:afterAutospacing="1" w:line="240" w:lineRule="auto"/>
              <w:jc w:val="both"/>
              <w:rPr>
                <w:rFonts w:cstheme="minorHAnsi"/>
                <w:lang w:val="en-GB"/>
              </w:rPr>
            </w:pPr>
            <w:r w:rsidRPr="00C90BBF">
              <w:rPr>
                <w:rFonts w:cstheme="minorHAnsi"/>
                <w:iCs/>
              </w:rPr>
              <w:t>The section should also include the Bill of Materials (BOM) for all the software and hardware components, products and tools that are proposed for the application development, testing, deployment and maintenance.</w:t>
            </w:r>
          </w:p>
        </w:tc>
        <w:tc>
          <w:tcPr>
            <w:tcW w:w="5233" w:type="dxa"/>
          </w:tcPr>
          <w:p w:rsidR="00190227" w:rsidRPr="00C90BBF" w:rsidRDefault="003F79CC" w:rsidP="003F79CC">
            <w:pPr>
              <w:jc w:val="both"/>
              <w:rPr>
                <w:rFonts w:cstheme="minorHAnsi"/>
                <w:iCs/>
              </w:rPr>
            </w:pPr>
            <w:r w:rsidRPr="00C90BBF">
              <w:rPr>
                <w:rFonts w:cstheme="minorHAnsi"/>
                <w:iCs/>
              </w:rPr>
              <w:t>The section should also include the Bill of Materials (BOM) for all the software and hardware components, products and tools that are proposed for the application development and QA (testing).</w:t>
            </w:r>
          </w:p>
          <w:p w:rsidR="003F79CC" w:rsidRPr="00C90BBF" w:rsidRDefault="003F79CC" w:rsidP="003F79CC">
            <w:pPr>
              <w:jc w:val="both"/>
              <w:rPr>
                <w:rFonts w:cstheme="minorHAnsi"/>
                <w:iCs/>
              </w:rPr>
            </w:pPr>
            <w:r w:rsidRPr="00C90BBF">
              <w:rPr>
                <w:rFonts w:cstheme="minorHAnsi"/>
                <w:iCs/>
              </w:rPr>
              <w:t xml:space="preserve">Further, it is highly recommended that </w:t>
            </w:r>
            <w:r w:rsidR="00A0302E" w:rsidRPr="00C90BBF">
              <w:rPr>
                <w:rFonts w:cstheme="minorHAnsi"/>
                <w:iCs/>
              </w:rPr>
              <w:t>the same technology stack as used currently in UIDAI for the CIDR be used which is provided in Annexure B. The SSP is expected to only use the relevant components of the same as required for SRDH and</w:t>
            </w:r>
            <w:r w:rsidR="00DB7485" w:rsidRPr="00C90BBF">
              <w:rPr>
                <w:rFonts w:cstheme="minorHAnsi"/>
                <w:iCs/>
              </w:rPr>
              <w:t xml:space="preserve"> also explain reasoning for </w:t>
            </w:r>
            <w:r w:rsidR="00A0302E" w:rsidRPr="00C90BBF">
              <w:rPr>
                <w:rFonts w:cstheme="minorHAnsi"/>
                <w:iCs/>
              </w:rPr>
              <w:t>deviations</w:t>
            </w:r>
            <w:r w:rsidR="00DB7485" w:rsidRPr="00C90BBF">
              <w:rPr>
                <w:rFonts w:cstheme="minorHAnsi"/>
                <w:iCs/>
              </w:rPr>
              <w:t>, if any</w:t>
            </w:r>
            <w:r w:rsidR="00A0302E" w:rsidRPr="00C90BBF">
              <w:rPr>
                <w:rFonts w:cstheme="minorHAnsi"/>
                <w:iCs/>
              </w:rPr>
              <w:t>.</w:t>
            </w:r>
          </w:p>
          <w:p w:rsidR="00C4148A" w:rsidRPr="00C90BBF" w:rsidRDefault="00DB7485" w:rsidP="003F79CC">
            <w:pPr>
              <w:jc w:val="both"/>
              <w:rPr>
                <w:rFonts w:cstheme="minorHAnsi"/>
                <w:lang w:val="en-GB"/>
              </w:rPr>
            </w:pPr>
            <w:r w:rsidRPr="00C90BBF">
              <w:rPr>
                <w:rFonts w:cstheme="minorHAnsi"/>
                <w:iCs/>
              </w:rPr>
              <w:t>Nonfunctional</w:t>
            </w:r>
            <w:r w:rsidR="00C4148A" w:rsidRPr="00C90BBF">
              <w:rPr>
                <w:rFonts w:cstheme="minorHAnsi"/>
                <w:iCs/>
              </w:rPr>
              <w:t xml:space="preserve"> requirements that needs to be considere</w:t>
            </w:r>
            <w:r w:rsidRPr="00C90BBF">
              <w:rPr>
                <w:rFonts w:cstheme="minorHAnsi"/>
                <w:iCs/>
              </w:rPr>
              <w:t>d while proposing the solution i</w:t>
            </w:r>
            <w:r w:rsidR="00C4148A" w:rsidRPr="00C90BBF">
              <w:rPr>
                <w:rFonts w:cstheme="minorHAnsi"/>
                <w:iCs/>
              </w:rPr>
              <w:t>s described in Annexure C.</w:t>
            </w:r>
          </w:p>
        </w:tc>
      </w:tr>
      <w:tr w:rsidR="003A0C03" w:rsidRPr="00C90BBF" w:rsidTr="00D416E0">
        <w:trPr>
          <w:trHeight w:val="908"/>
        </w:trPr>
        <w:tc>
          <w:tcPr>
            <w:tcW w:w="534" w:type="dxa"/>
          </w:tcPr>
          <w:p w:rsidR="003A0C03" w:rsidRPr="00C90BBF" w:rsidRDefault="00727258" w:rsidP="002A3EA3">
            <w:pPr>
              <w:pStyle w:val="Default"/>
              <w:rPr>
                <w:rFonts w:asciiTheme="minorHAnsi" w:hAnsiTheme="minorHAnsi" w:cstheme="minorHAnsi"/>
                <w:sz w:val="22"/>
                <w:szCs w:val="22"/>
              </w:rPr>
            </w:pPr>
            <w:r w:rsidRPr="00C90BBF">
              <w:rPr>
                <w:rFonts w:asciiTheme="minorHAnsi" w:hAnsiTheme="minorHAnsi" w:cstheme="minorHAnsi"/>
                <w:sz w:val="22"/>
                <w:szCs w:val="22"/>
              </w:rPr>
              <w:lastRenderedPageBreak/>
              <w:t>2</w:t>
            </w:r>
          </w:p>
        </w:tc>
        <w:tc>
          <w:tcPr>
            <w:tcW w:w="1798" w:type="dxa"/>
          </w:tcPr>
          <w:p w:rsidR="003A0C03" w:rsidRPr="00C90BBF" w:rsidRDefault="00A31258" w:rsidP="005F0F99">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 xml:space="preserve">FORM TECH-6, </w:t>
            </w:r>
            <w:r w:rsidR="005F0F99" w:rsidRPr="00C90BBF">
              <w:rPr>
                <w:rFonts w:asciiTheme="minorHAnsi" w:hAnsiTheme="minorHAnsi" w:cstheme="minorHAnsi"/>
                <w:sz w:val="22"/>
                <w:szCs w:val="22"/>
              </w:rPr>
              <w:t xml:space="preserve">Section 4, </w:t>
            </w:r>
            <w:proofErr w:type="spellStart"/>
            <w:r w:rsidRPr="00C90BBF">
              <w:rPr>
                <w:rFonts w:asciiTheme="minorHAnsi" w:hAnsiTheme="minorHAnsi" w:cstheme="minorHAnsi"/>
                <w:sz w:val="22"/>
                <w:szCs w:val="22"/>
              </w:rPr>
              <w:t>Vol</w:t>
            </w:r>
            <w:proofErr w:type="spellEnd"/>
            <w:r w:rsidR="005F0F99" w:rsidRPr="00C90BBF">
              <w:rPr>
                <w:rFonts w:asciiTheme="minorHAnsi" w:hAnsiTheme="minorHAnsi" w:cstheme="minorHAnsi"/>
                <w:sz w:val="22"/>
                <w:szCs w:val="22"/>
              </w:rPr>
              <w:t>-</w:t>
            </w:r>
            <w:r w:rsidRPr="00C90BBF">
              <w:rPr>
                <w:rFonts w:asciiTheme="minorHAnsi" w:hAnsiTheme="minorHAnsi" w:cstheme="minorHAnsi"/>
                <w:sz w:val="22"/>
                <w:szCs w:val="22"/>
              </w:rPr>
              <w:t>I</w:t>
            </w:r>
          </w:p>
        </w:tc>
        <w:tc>
          <w:tcPr>
            <w:tcW w:w="1887" w:type="dxa"/>
          </w:tcPr>
          <w:p w:rsidR="003A0C03" w:rsidRPr="00C90BBF" w:rsidRDefault="00A31258" w:rsidP="000D02E5">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Technical Proposal, Staffing Schedule</w:t>
            </w:r>
          </w:p>
        </w:tc>
        <w:tc>
          <w:tcPr>
            <w:tcW w:w="4966" w:type="dxa"/>
          </w:tcPr>
          <w:p w:rsidR="003A0C03" w:rsidRPr="00C90BBF" w:rsidRDefault="005F0F99" w:rsidP="000D02E5">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 xml:space="preserve">As in </w:t>
            </w:r>
            <w:r w:rsidR="003A0C03" w:rsidRPr="00C90BBF">
              <w:rPr>
                <w:rFonts w:asciiTheme="minorHAnsi" w:hAnsiTheme="minorHAnsi" w:cstheme="minorHAnsi"/>
                <w:sz w:val="22"/>
                <w:szCs w:val="22"/>
              </w:rPr>
              <w:t>Annexure</w:t>
            </w:r>
            <w:r w:rsidR="00A31258" w:rsidRPr="00C90BBF">
              <w:rPr>
                <w:rFonts w:asciiTheme="minorHAnsi" w:hAnsiTheme="minorHAnsi" w:cstheme="minorHAnsi"/>
                <w:sz w:val="22"/>
                <w:szCs w:val="22"/>
              </w:rPr>
              <w:t xml:space="preserve"> </w:t>
            </w:r>
            <w:r w:rsidR="00C4148A" w:rsidRPr="00C90BBF">
              <w:rPr>
                <w:rFonts w:asciiTheme="minorHAnsi" w:hAnsiTheme="minorHAnsi" w:cstheme="minorHAnsi"/>
                <w:sz w:val="22"/>
                <w:szCs w:val="22"/>
              </w:rPr>
              <w:t>D</w:t>
            </w:r>
          </w:p>
        </w:tc>
        <w:tc>
          <w:tcPr>
            <w:tcW w:w="5233" w:type="dxa"/>
          </w:tcPr>
          <w:p w:rsidR="003A0C03" w:rsidRPr="00C90BBF" w:rsidRDefault="00D0116D" w:rsidP="000D02E5">
            <w:pPr>
              <w:pStyle w:val="Default"/>
              <w:rPr>
                <w:rFonts w:asciiTheme="minorHAnsi" w:hAnsiTheme="minorHAnsi" w:cstheme="minorHAnsi"/>
                <w:sz w:val="22"/>
                <w:szCs w:val="22"/>
              </w:rPr>
            </w:pPr>
            <w:r w:rsidRPr="00C90BBF">
              <w:rPr>
                <w:rFonts w:asciiTheme="minorHAnsi" w:hAnsiTheme="minorHAnsi" w:cstheme="minorHAnsi"/>
                <w:sz w:val="22"/>
                <w:szCs w:val="22"/>
              </w:rPr>
              <w:t>Deleted</w:t>
            </w:r>
            <w:r w:rsidR="00A31258" w:rsidRPr="00C90BBF">
              <w:rPr>
                <w:rFonts w:asciiTheme="minorHAnsi" w:hAnsiTheme="minorHAnsi" w:cstheme="minorHAnsi"/>
                <w:sz w:val="22"/>
                <w:szCs w:val="22"/>
              </w:rPr>
              <w:t xml:space="preserve"> from RFP</w:t>
            </w:r>
          </w:p>
        </w:tc>
      </w:tr>
      <w:tr w:rsidR="003A0C03" w:rsidRPr="00C90BBF" w:rsidTr="00D416E0">
        <w:trPr>
          <w:trHeight w:val="358"/>
        </w:trPr>
        <w:tc>
          <w:tcPr>
            <w:tcW w:w="534" w:type="dxa"/>
          </w:tcPr>
          <w:p w:rsidR="003A0C03" w:rsidRPr="00C90BBF" w:rsidRDefault="00727258" w:rsidP="002A3EA3">
            <w:pPr>
              <w:pStyle w:val="Default"/>
              <w:rPr>
                <w:rFonts w:asciiTheme="minorHAnsi" w:hAnsiTheme="minorHAnsi" w:cstheme="minorHAnsi"/>
                <w:sz w:val="22"/>
                <w:szCs w:val="22"/>
              </w:rPr>
            </w:pPr>
            <w:r w:rsidRPr="00C90BBF">
              <w:rPr>
                <w:rFonts w:asciiTheme="minorHAnsi" w:hAnsiTheme="minorHAnsi" w:cstheme="minorHAnsi"/>
                <w:sz w:val="22"/>
                <w:szCs w:val="22"/>
              </w:rPr>
              <w:t>3</w:t>
            </w:r>
          </w:p>
        </w:tc>
        <w:tc>
          <w:tcPr>
            <w:tcW w:w="1798" w:type="dxa"/>
          </w:tcPr>
          <w:p w:rsidR="003A0C03" w:rsidRPr="00C90BBF" w:rsidRDefault="006A605D" w:rsidP="006A605D">
            <w:pPr>
              <w:pStyle w:val="Default"/>
              <w:rPr>
                <w:rFonts w:asciiTheme="minorHAnsi" w:hAnsiTheme="minorHAnsi" w:cstheme="minorHAnsi"/>
                <w:sz w:val="22"/>
                <w:szCs w:val="22"/>
              </w:rPr>
            </w:pPr>
            <w:r w:rsidRPr="00C90BBF">
              <w:rPr>
                <w:rFonts w:asciiTheme="minorHAnsi" w:hAnsiTheme="minorHAnsi" w:cstheme="minorHAnsi"/>
                <w:sz w:val="22"/>
                <w:szCs w:val="22"/>
              </w:rPr>
              <w:t xml:space="preserve">Section 5, </w:t>
            </w:r>
            <w:proofErr w:type="spellStart"/>
            <w:r w:rsidRPr="00C90BBF">
              <w:rPr>
                <w:rFonts w:asciiTheme="minorHAnsi" w:hAnsiTheme="minorHAnsi" w:cstheme="minorHAnsi"/>
                <w:sz w:val="22"/>
                <w:szCs w:val="22"/>
              </w:rPr>
              <w:t>Vol</w:t>
            </w:r>
            <w:proofErr w:type="spellEnd"/>
            <w:r w:rsidR="00470305" w:rsidRPr="00C90BBF">
              <w:rPr>
                <w:rFonts w:asciiTheme="minorHAnsi" w:hAnsiTheme="minorHAnsi" w:cstheme="minorHAnsi"/>
                <w:sz w:val="22"/>
                <w:szCs w:val="22"/>
              </w:rPr>
              <w:t>-</w:t>
            </w:r>
            <w:r w:rsidRPr="00C90BBF">
              <w:rPr>
                <w:rFonts w:asciiTheme="minorHAnsi" w:hAnsiTheme="minorHAnsi" w:cstheme="minorHAnsi"/>
                <w:sz w:val="22"/>
                <w:szCs w:val="22"/>
              </w:rPr>
              <w:t xml:space="preserve"> I</w:t>
            </w:r>
          </w:p>
        </w:tc>
        <w:tc>
          <w:tcPr>
            <w:tcW w:w="1887" w:type="dxa"/>
          </w:tcPr>
          <w:p w:rsidR="003A0C03" w:rsidRPr="00C90BBF" w:rsidRDefault="006A605D" w:rsidP="00C52DA1">
            <w:pPr>
              <w:spacing w:after="100" w:afterAutospacing="1" w:line="240" w:lineRule="auto"/>
              <w:rPr>
                <w:rFonts w:cstheme="minorHAnsi"/>
                <w:lang w:val="en-GB"/>
              </w:rPr>
            </w:pPr>
            <w:r w:rsidRPr="00C90BBF">
              <w:rPr>
                <w:rFonts w:cstheme="minorHAnsi"/>
              </w:rPr>
              <w:t>Financial Proposal</w:t>
            </w:r>
          </w:p>
        </w:tc>
        <w:tc>
          <w:tcPr>
            <w:tcW w:w="4966" w:type="dxa"/>
          </w:tcPr>
          <w:p w:rsidR="003A0C03" w:rsidRPr="00C90BBF" w:rsidRDefault="006A605D" w:rsidP="00C4148A">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NIL</w:t>
            </w:r>
          </w:p>
        </w:tc>
        <w:tc>
          <w:tcPr>
            <w:tcW w:w="5233" w:type="dxa"/>
          </w:tcPr>
          <w:p w:rsidR="003A0C03" w:rsidRPr="00C90BBF" w:rsidRDefault="006A605D" w:rsidP="00C4148A">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 xml:space="preserve">Added “Form Fin 7” as in Annexure </w:t>
            </w:r>
            <w:r w:rsidR="00C4148A" w:rsidRPr="00C90BBF">
              <w:rPr>
                <w:rFonts w:asciiTheme="minorHAnsi" w:hAnsiTheme="minorHAnsi" w:cstheme="minorHAnsi"/>
                <w:sz w:val="22"/>
                <w:szCs w:val="22"/>
              </w:rPr>
              <w:t>E</w:t>
            </w:r>
          </w:p>
        </w:tc>
      </w:tr>
      <w:tr w:rsidR="00211508" w:rsidRPr="00C90BBF" w:rsidTr="00D416E0">
        <w:trPr>
          <w:trHeight w:val="908"/>
        </w:trPr>
        <w:tc>
          <w:tcPr>
            <w:tcW w:w="534" w:type="dxa"/>
          </w:tcPr>
          <w:p w:rsidR="00211508" w:rsidRPr="00C90BBF" w:rsidRDefault="00727258" w:rsidP="002A3EA3">
            <w:pPr>
              <w:pStyle w:val="Default"/>
              <w:rPr>
                <w:rFonts w:asciiTheme="minorHAnsi" w:hAnsiTheme="minorHAnsi" w:cstheme="minorHAnsi"/>
                <w:sz w:val="22"/>
                <w:szCs w:val="22"/>
              </w:rPr>
            </w:pPr>
            <w:r w:rsidRPr="00C90BBF">
              <w:rPr>
                <w:rFonts w:asciiTheme="minorHAnsi" w:hAnsiTheme="minorHAnsi" w:cstheme="minorHAnsi"/>
                <w:sz w:val="22"/>
                <w:szCs w:val="22"/>
              </w:rPr>
              <w:t>4</w:t>
            </w:r>
          </w:p>
        </w:tc>
        <w:tc>
          <w:tcPr>
            <w:tcW w:w="1798" w:type="dxa"/>
          </w:tcPr>
          <w:p w:rsidR="00211508" w:rsidRPr="00C90BBF" w:rsidRDefault="00211508" w:rsidP="004C3158">
            <w:pPr>
              <w:pStyle w:val="Default"/>
              <w:rPr>
                <w:rFonts w:asciiTheme="minorHAnsi" w:hAnsiTheme="minorHAnsi" w:cstheme="minorHAnsi"/>
                <w:sz w:val="22"/>
                <w:szCs w:val="22"/>
              </w:rPr>
            </w:pPr>
            <w:r w:rsidRPr="00C90BBF">
              <w:rPr>
                <w:rFonts w:asciiTheme="minorHAnsi" w:hAnsiTheme="minorHAnsi" w:cstheme="minorHAnsi"/>
                <w:sz w:val="22"/>
                <w:szCs w:val="22"/>
              </w:rPr>
              <w:t xml:space="preserve">Para 10, Section 1.5, </w:t>
            </w:r>
            <w:proofErr w:type="spellStart"/>
            <w:r w:rsidRPr="00C90BBF">
              <w:rPr>
                <w:rFonts w:asciiTheme="minorHAnsi" w:hAnsiTheme="minorHAnsi" w:cstheme="minorHAnsi"/>
                <w:sz w:val="22"/>
                <w:szCs w:val="22"/>
              </w:rPr>
              <w:t>Vol</w:t>
            </w:r>
            <w:proofErr w:type="spellEnd"/>
            <w:r w:rsidR="004C3158" w:rsidRPr="00C90BBF">
              <w:rPr>
                <w:rFonts w:asciiTheme="minorHAnsi" w:hAnsiTheme="minorHAnsi" w:cstheme="minorHAnsi"/>
                <w:sz w:val="22"/>
                <w:szCs w:val="22"/>
              </w:rPr>
              <w:t>-</w:t>
            </w:r>
            <w:r w:rsidRPr="00C90BBF">
              <w:rPr>
                <w:rFonts w:asciiTheme="minorHAnsi" w:hAnsiTheme="minorHAnsi" w:cstheme="minorHAnsi"/>
                <w:sz w:val="22"/>
                <w:szCs w:val="22"/>
              </w:rPr>
              <w:t>II</w:t>
            </w:r>
          </w:p>
        </w:tc>
        <w:tc>
          <w:tcPr>
            <w:tcW w:w="1887" w:type="dxa"/>
          </w:tcPr>
          <w:p w:rsidR="00211508" w:rsidRPr="00C90BBF" w:rsidRDefault="006F6E32" w:rsidP="00C52DA1">
            <w:pPr>
              <w:spacing w:after="100" w:afterAutospacing="1" w:line="240" w:lineRule="auto"/>
              <w:rPr>
                <w:rFonts w:cstheme="minorHAnsi"/>
              </w:rPr>
            </w:pPr>
            <w:r w:rsidRPr="00C90BBF">
              <w:rPr>
                <w:rFonts w:cstheme="minorHAnsi"/>
              </w:rPr>
              <w:t>Functional Specifications of SRDH</w:t>
            </w:r>
          </w:p>
        </w:tc>
        <w:tc>
          <w:tcPr>
            <w:tcW w:w="4966" w:type="dxa"/>
          </w:tcPr>
          <w:p w:rsidR="00211508" w:rsidRPr="00C90BBF" w:rsidRDefault="006F6E32" w:rsidP="004C3158">
            <w:pPr>
              <w:contextualSpacing/>
              <w:jc w:val="both"/>
              <w:rPr>
                <w:rFonts w:cstheme="minorHAnsi"/>
              </w:rPr>
            </w:pPr>
            <w:r w:rsidRPr="00C90BBF">
              <w:rPr>
                <w:rFonts w:cstheme="minorHAnsi"/>
              </w:rPr>
              <w:t>State may choose to have core database of their choice therefore the wrapper services should be designed in such a way that any industry standard RDBMS can be plugged in as the core. Supported databases should include but not limited to latest releases of MySQL, Oracle, Sybase, MS Access and DB2.</w:t>
            </w:r>
          </w:p>
        </w:tc>
        <w:tc>
          <w:tcPr>
            <w:tcW w:w="5233" w:type="dxa"/>
          </w:tcPr>
          <w:p w:rsidR="00211508" w:rsidRPr="00C90BBF" w:rsidRDefault="006F6E32" w:rsidP="006F6E32">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State may choose to have core database of their choice therefore the wrapper services should be designed in such a way that any industry standard RDBMS can be plugged in as the core. Supported databases should include latest releases of MySQL, Oracle, SQL Server and DB2.</w:t>
            </w:r>
          </w:p>
        </w:tc>
      </w:tr>
      <w:tr w:rsidR="00347D69" w:rsidRPr="00C90BBF" w:rsidTr="00D416E0">
        <w:trPr>
          <w:trHeight w:val="908"/>
        </w:trPr>
        <w:tc>
          <w:tcPr>
            <w:tcW w:w="534" w:type="dxa"/>
          </w:tcPr>
          <w:p w:rsidR="00347D69" w:rsidRPr="00C90BBF" w:rsidRDefault="00727258" w:rsidP="002A3EA3">
            <w:pPr>
              <w:pStyle w:val="Default"/>
              <w:rPr>
                <w:rFonts w:asciiTheme="minorHAnsi" w:hAnsiTheme="minorHAnsi" w:cstheme="minorHAnsi"/>
                <w:sz w:val="22"/>
                <w:szCs w:val="22"/>
              </w:rPr>
            </w:pPr>
            <w:r w:rsidRPr="00C90BBF">
              <w:rPr>
                <w:rFonts w:asciiTheme="minorHAnsi" w:hAnsiTheme="minorHAnsi" w:cstheme="minorHAnsi"/>
                <w:sz w:val="22"/>
                <w:szCs w:val="22"/>
              </w:rPr>
              <w:t>5</w:t>
            </w:r>
          </w:p>
        </w:tc>
        <w:tc>
          <w:tcPr>
            <w:tcW w:w="1798" w:type="dxa"/>
          </w:tcPr>
          <w:p w:rsidR="00347D69" w:rsidRPr="00C90BBF" w:rsidRDefault="005E2420" w:rsidP="006A605D">
            <w:pPr>
              <w:pStyle w:val="Default"/>
              <w:rPr>
                <w:rFonts w:asciiTheme="minorHAnsi" w:hAnsiTheme="minorHAnsi" w:cstheme="minorHAnsi"/>
                <w:sz w:val="22"/>
                <w:szCs w:val="22"/>
              </w:rPr>
            </w:pPr>
            <w:r w:rsidRPr="00C90BBF">
              <w:rPr>
                <w:rFonts w:asciiTheme="minorHAnsi" w:hAnsiTheme="minorHAnsi" w:cstheme="minorHAnsi"/>
                <w:sz w:val="22"/>
                <w:szCs w:val="22"/>
              </w:rPr>
              <w:t xml:space="preserve">Para 1.20, </w:t>
            </w:r>
            <w:proofErr w:type="spellStart"/>
            <w:r w:rsidRPr="00C90BBF">
              <w:rPr>
                <w:rFonts w:asciiTheme="minorHAnsi" w:hAnsiTheme="minorHAnsi" w:cstheme="minorHAnsi"/>
                <w:sz w:val="22"/>
                <w:szCs w:val="22"/>
              </w:rPr>
              <w:t>Vol</w:t>
            </w:r>
            <w:proofErr w:type="spellEnd"/>
            <w:r w:rsidRPr="00C90BBF">
              <w:rPr>
                <w:rFonts w:asciiTheme="minorHAnsi" w:hAnsiTheme="minorHAnsi" w:cstheme="minorHAnsi"/>
                <w:sz w:val="22"/>
                <w:szCs w:val="22"/>
              </w:rPr>
              <w:t xml:space="preserve"> II</w:t>
            </w:r>
          </w:p>
        </w:tc>
        <w:tc>
          <w:tcPr>
            <w:tcW w:w="1887" w:type="dxa"/>
          </w:tcPr>
          <w:p w:rsidR="00347D69" w:rsidRPr="00C90BBF" w:rsidRDefault="002F122B" w:rsidP="00C52DA1">
            <w:pPr>
              <w:spacing w:after="100" w:afterAutospacing="1" w:line="240" w:lineRule="auto"/>
              <w:rPr>
                <w:rFonts w:cstheme="minorHAnsi"/>
              </w:rPr>
            </w:pPr>
            <w:r w:rsidRPr="00C90BBF">
              <w:rPr>
                <w:rFonts w:cstheme="minorHAnsi"/>
              </w:rPr>
              <w:t>Responsibilities of each party</w:t>
            </w:r>
          </w:p>
        </w:tc>
        <w:tc>
          <w:tcPr>
            <w:tcW w:w="4966" w:type="dxa"/>
          </w:tcPr>
          <w:p w:rsidR="00E17E7C" w:rsidRPr="00C90BBF" w:rsidRDefault="00E17E7C" w:rsidP="00E17E7C">
            <w:pPr>
              <w:spacing w:after="0"/>
              <w:jc w:val="both"/>
              <w:rPr>
                <w:rFonts w:cstheme="minorHAnsi"/>
              </w:rPr>
            </w:pPr>
            <w:r w:rsidRPr="00C90BBF">
              <w:rPr>
                <w:rFonts w:cstheme="minorHAnsi"/>
              </w:rPr>
              <w:t xml:space="preserve">Provide personnel adequately qualified to perform the requisite tasks. In case performance related issues are observed that </w:t>
            </w:r>
          </w:p>
          <w:p w:rsidR="00347D69" w:rsidRPr="00C90BBF" w:rsidRDefault="00347D69" w:rsidP="006F6E32">
            <w:pPr>
              <w:ind w:left="360"/>
              <w:contextualSpacing/>
              <w:jc w:val="both"/>
              <w:rPr>
                <w:rFonts w:cstheme="minorHAnsi"/>
              </w:rPr>
            </w:pPr>
          </w:p>
        </w:tc>
        <w:tc>
          <w:tcPr>
            <w:tcW w:w="5233" w:type="dxa"/>
          </w:tcPr>
          <w:p w:rsidR="00E17E7C" w:rsidRPr="00C90BBF" w:rsidRDefault="00E17E7C" w:rsidP="00E17E7C">
            <w:pPr>
              <w:spacing w:after="0"/>
              <w:jc w:val="both"/>
              <w:rPr>
                <w:rFonts w:cstheme="minorHAnsi"/>
              </w:rPr>
            </w:pPr>
            <w:r w:rsidRPr="00C90BBF">
              <w:rPr>
                <w:rFonts w:cstheme="minorHAnsi"/>
              </w:rPr>
              <w:t xml:space="preserve">Provide personnel adequately qualified to perform the requisite tasks. </w:t>
            </w:r>
          </w:p>
          <w:p w:rsidR="00E17E7C" w:rsidRPr="00C90BBF" w:rsidRDefault="00E17E7C" w:rsidP="00E17E7C">
            <w:pPr>
              <w:rPr>
                <w:rFonts w:cstheme="minorHAnsi"/>
              </w:rPr>
            </w:pPr>
            <w:r w:rsidRPr="00C90BBF">
              <w:rPr>
                <w:rFonts w:cstheme="minorHAnsi"/>
              </w:rPr>
              <w:t>1. Replacement will be expected</w:t>
            </w:r>
            <w:r w:rsidR="005E2420" w:rsidRPr="00C90BBF">
              <w:rPr>
                <w:rFonts w:cstheme="minorHAnsi"/>
              </w:rPr>
              <w:t>, in case personnel are removed from the project.</w:t>
            </w:r>
          </w:p>
          <w:p w:rsidR="00E17E7C" w:rsidRPr="00C90BBF" w:rsidRDefault="00E17E7C" w:rsidP="00E17E7C">
            <w:pPr>
              <w:rPr>
                <w:rFonts w:cstheme="minorHAnsi"/>
              </w:rPr>
            </w:pPr>
            <w:r w:rsidRPr="00C90BBF">
              <w:rPr>
                <w:rFonts w:cstheme="minorHAnsi"/>
              </w:rPr>
              <w:t>2. Transition cost if any will not be borne by UIDAI</w:t>
            </w:r>
          </w:p>
          <w:p w:rsidR="00E17E7C" w:rsidRPr="00C90BBF" w:rsidRDefault="00E17E7C" w:rsidP="00E17E7C">
            <w:pPr>
              <w:rPr>
                <w:rFonts w:cstheme="minorHAnsi"/>
              </w:rPr>
            </w:pPr>
            <w:r w:rsidRPr="00C90BBF">
              <w:rPr>
                <w:rFonts w:cstheme="minorHAnsi"/>
              </w:rPr>
              <w:t>3. Rework cost if any will not be borne by UIDAI</w:t>
            </w:r>
          </w:p>
          <w:p w:rsidR="00347D69" w:rsidRPr="00C90BBF" w:rsidRDefault="00E17E7C" w:rsidP="00E17E7C">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4. If a milestone is missed then penalty clause will be initiated</w:t>
            </w:r>
          </w:p>
        </w:tc>
      </w:tr>
      <w:tr w:rsidR="00E61DE9" w:rsidRPr="00C90BBF" w:rsidTr="00D416E0">
        <w:trPr>
          <w:trHeight w:val="818"/>
        </w:trPr>
        <w:tc>
          <w:tcPr>
            <w:tcW w:w="534" w:type="dxa"/>
          </w:tcPr>
          <w:p w:rsidR="00E61DE9" w:rsidRPr="00C90BBF" w:rsidRDefault="00727258" w:rsidP="002A3EA3">
            <w:pPr>
              <w:pStyle w:val="Default"/>
              <w:rPr>
                <w:rFonts w:asciiTheme="minorHAnsi" w:hAnsiTheme="minorHAnsi" w:cstheme="minorHAnsi"/>
                <w:sz w:val="22"/>
                <w:szCs w:val="22"/>
              </w:rPr>
            </w:pPr>
            <w:r w:rsidRPr="00C90BBF">
              <w:rPr>
                <w:rFonts w:asciiTheme="minorHAnsi" w:hAnsiTheme="minorHAnsi" w:cstheme="minorHAnsi"/>
                <w:sz w:val="22"/>
                <w:szCs w:val="22"/>
              </w:rPr>
              <w:t>6</w:t>
            </w:r>
          </w:p>
        </w:tc>
        <w:tc>
          <w:tcPr>
            <w:tcW w:w="1798" w:type="dxa"/>
          </w:tcPr>
          <w:p w:rsidR="00E61DE9" w:rsidRPr="00C90BBF" w:rsidRDefault="00E61DE9" w:rsidP="00AB2CE5">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 xml:space="preserve">Para 1.21, </w:t>
            </w:r>
            <w:proofErr w:type="spellStart"/>
            <w:r w:rsidRPr="00C90BBF">
              <w:rPr>
                <w:rFonts w:asciiTheme="minorHAnsi" w:hAnsiTheme="minorHAnsi" w:cstheme="minorHAnsi"/>
                <w:sz w:val="22"/>
                <w:szCs w:val="22"/>
              </w:rPr>
              <w:t>Vol</w:t>
            </w:r>
            <w:proofErr w:type="spellEnd"/>
            <w:r w:rsidRPr="00C90BBF">
              <w:rPr>
                <w:rFonts w:asciiTheme="minorHAnsi" w:hAnsiTheme="minorHAnsi" w:cstheme="minorHAnsi"/>
                <w:sz w:val="22"/>
                <w:szCs w:val="22"/>
              </w:rPr>
              <w:t xml:space="preserve"> -II</w:t>
            </w:r>
          </w:p>
        </w:tc>
        <w:tc>
          <w:tcPr>
            <w:tcW w:w="1887" w:type="dxa"/>
          </w:tcPr>
          <w:p w:rsidR="00E61DE9" w:rsidRPr="00C90BBF" w:rsidRDefault="00E61DE9" w:rsidP="00AB2CE5">
            <w:pPr>
              <w:spacing w:after="100" w:afterAutospacing="1" w:line="240" w:lineRule="auto"/>
              <w:rPr>
                <w:rFonts w:cstheme="minorHAnsi"/>
              </w:rPr>
            </w:pPr>
            <w:r w:rsidRPr="00C90BBF">
              <w:rPr>
                <w:rFonts w:cstheme="minorHAnsi"/>
              </w:rPr>
              <w:t>Service Level Agreements and Penalties</w:t>
            </w:r>
          </w:p>
        </w:tc>
        <w:tc>
          <w:tcPr>
            <w:tcW w:w="4966" w:type="dxa"/>
          </w:tcPr>
          <w:p w:rsidR="00E61DE9" w:rsidRPr="00C90BBF" w:rsidRDefault="00E61DE9" w:rsidP="00AB2CE5">
            <w:pPr>
              <w:spacing w:after="100" w:afterAutospacing="1" w:line="240" w:lineRule="auto"/>
              <w:jc w:val="both"/>
              <w:rPr>
                <w:rFonts w:cstheme="minorHAnsi"/>
              </w:rPr>
            </w:pPr>
            <w:r w:rsidRPr="00C90BBF">
              <w:rPr>
                <w:rFonts w:cstheme="minorHAnsi"/>
              </w:rPr>
              <w:t>Table 1 in Annexure A</w:t>
            </w:r>
          </w:p>
        </w:tc>
        <w:tc>
          <w:tcPr>
            <w:tcW w:w="5233" w:type="dxa"/>
          </w:tcPr>
          <w:p w:rsidR="00E61DE9" w:rsidRPr="00C90BBF" w:rsidRDefault="00E61DE9" w:rsidP="00AB2CE5">
            <w:pPr>
              <w:jc w:val="both"/>
              <w:rPr>
                <w:rFonts w:cstheme="minorHAnsi"/>
              </w:rPr>
            </w:pPr>
            <w:r w:rsidRPr="00C90BBF">
              <w:rPr>
                <w:rFonts w:cstheme="minorHAnsi"/>
              </w:rPr>
              <w:t>Table 2 in Annexure A</w:t>
            </w:r>
          </w:p>
        </w:tc>
      </w:tr>
      <w:tr w:rsidR="00E61DE9" w:rsidRPr="00C90BBF" w:rsidTr="00D416E0">
        <w:trPr>
          <w:trHeight w:val="892"/>
        </w:trPr>
        <w:tc>
          <w:tcPr>
            <w:tcW w:w="534" w:type="dxa"/>
          </w:tcPr>
          <w:p w:rsidR="00E61DE9" w:rsidRPr="00C90BBF" w:rsidRDefault="00727258" w:rsidP="00AB2CE5">
            <w:pPr>
              <w:pStyle w:val="Default"/>
              <w:rPr>
                <w:rFonts w:asciiTheme="minorHAnsi" w:hAnsiTheme="minorHAnsi" w:cstheme="minorHAnsi"/>
                <w:sz w:val="22"/>
                <w:szCs w:val="22"/>
              </w:rPr>
            </w:pPr>
            <w:r w:rsidRPr="00C90BBF">
              <w:rPr>
                <w:rFonts w:asciiTheme="minorHAnsi" w:hAnsiTheme="minorHAnsi" w:cstheme="minorHAnsi"/>
                <w:sz w:val="22"/>
                <w:szCs w:val="22"/>
              </w:rPr>
              <w:t>7</w:t>
            </w:r>
          </w:p>
        </w:tc>
        <w:tc>
          <w:tcPr>
            <w:tcW w:w="1798" w:type="dxa"/>
          </w:tcPr>
          <w:p w:rsidR="00E61DE9" w:rsidRPr="00C90BBF" w:rsidRDefault="00E61DE9" w:rsidP="00AB2CE5">
            <w:pPr>
              <w:pStyle w:val="Default"/>
              <w:rPr>
                <w:rFonts w:asciiTheme="minorHAnsi" w:hAnsiTheme="minorHAnsi" w:cstheme="minorHAnsi"/>
                <w:sz w:val="22"/>
                <w:szCs w:val="22"/>
              </w:rPr>
            </w:pPr>
            <w:r w:rsidRPr="00C90BBF">
              <w:rPr>
                <w:rFonts w:asciiTheme="minorHAnsi" w:hAnsiTheme="minorHAnsi" w:cstheme="minorHAnsi"/>
                <w:sz w:val="22"/>
                <w:szCs w:val="22"/>
              </w:rPr>
              <w:t xml:space="preserve">Para 3, Section 1.1, </w:t>
            </w:r>
            <w:proofErr w:type="spellStart"/>
            <w:r w:rsidRPr="00C90BBF">
              <w:rPr>
                <w:rFonts w:asciiTheme="minorHAnsi" w:hAnsiTheme="minorHAnsi" w:cstheme="minorHAnsi"/>
                <w:sz w:val="22"/>
                <w:szCs w:val="22"/>
              </w:rPr>
              <w:t>Vol</w:t>
            </w:r>
            <w:proofErr w:type="spellEnd"/>
            <w:r w:rsidRPr="00C90BBF">
              <w:rPr>
                <w:rFonts w:asciiTheme="minorHAnsi" w:hAnsiTheme="minorHAnsi" w:cstheme="minorHAnsi"/>
                <w:sz w:val="22"/>
                <w:szCs w:val="22"/>
              </w:rPr>
              <w:t xml:space="preserve"> III</w:t>
            </w:r>
          </w:p>
        </w:tc>
        <w:tc>
          <w:tcPr>
            <w:tcW w:w="1887" w:type="dxa"/>
          </w:tcPr>
          <w:p w:rsidR="00E61DE9" w:rsidRPr="00C90BBF" w:rsidRDefault="00E61DE9" w:rsidP="00AB2CE5">
            <w:pPr>
              <w:spacing w:after="100" w:afterAutospacing="1" w:line="240" w:lineRule="auto"/>
              <w:rPr>
                <w:rFonts w:cstheme="minorHAnsi"/>
              </w:rPr>
            </w:pPr>
            <w:r w:rsidRPr="00C90BBF">
              <w:rPr>
                <w:rFonts w:cstheme="minorHAnsi"/>
              </w:rPr>
              <w:t>Contract Form</w:t>
            </w:r>
          </w:p>
        </w:tc>
        <w:tc>
          <w:tcPr>
            <w:tcW w:w="4966" w:type="dxa"/>
          </w:tcPr>
          <w:p w:rsidR="00E61DE9" w:rsidRPr="00C90BBF" w:rsidRDefault="00E61DE9" w:rsidP="00E61DE9">
            <w:pPr>
              <w:jc w:val="both"/>
              <w:rPr>
                <w:rFonts w:cstheme="minorHAnsi"/>
              </w:rPr>
            </w:pPr>
            <w:r w:rsidRPr="00C90BBF">
              <w:rPr>
                <w:rFonts w:cstheme="minorHAnsi"/>
              </w:rPr>
              <w:t xml:space="preserve">[Note:  If the </w:t>
            </w:r>
            <w:r w:rsidRPr="00C90BBF">
              <w:rPr>
                <w:rFonts w:cstheme="minorHAnsi"/>
                <w:iCs/>
              </w:rPr>
              <w:t>Software Solution Provider</w:t>
            </w:r>
            <w:r w:rsidRPr="00C90BBF">
              <w:rPr>
                <w:rFonts w:cstheme="minorHAnsi"/>
              </w:rPr>
              <w:t xml:space="preserve"> consists of more than one entity, all these entities should appear as signatories, e.g., in the following manner:]</w:t>
            </w:r>
          </w:p>
        </w:tc>
        <w:tc>
          <w:tcPr>
            <w:tcW w:w="5233" w:type="dxa"/>
          </w:tcPr>
          <w:p w:rsidR="00E61DE9" w:rsidRPr="00C90BBF" w:rsidRDefault="00E61DE9" w:rsidP="00AB2CE5">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Deleted</w:t>
            </w:r>
          </w:p>
        </w:tc>
      </w:tr>
      <w:tr w:rsidR="00E61DE9" w:rsidRPr="00C90BBF" w:rsidTr="00D416E0">
        <w:trPr>
          <w:trHeight w:val="841"/>
        </w:trPr>
        <w:tc>
          <w:tcPr>
            <w:tcW w:w="534" w:type="dxa"/>
          </w:tcPr>
          <w:p w:rsidR="00E61DE9" w:rsidRPr="00C90BBF" w:rsidRDefault="00727258" w:rsidP="00AB2CE5">
            <w:pPr>
              <w:pStyle w:val="Default"/>
              <w:rPr>
                <w:rFonts w:asciiTheme="minorHAnsi" w:hAnsiTheme="minorHAnsi" w:cstheme="minorHAnsi"/>
                <w:sz w:val="22"/>
                <w:szCs w:val="22"/>
              </w:rPr>
            </w:pPr>
            <w:r w:rsidRPr="00C90BBF">
              <w:rPr>
                <w:rFonts w:asciiTheme="minorHAnsi" w:hAnsiTheme="minorHAnsi" w:cstheme="minorHAnsi"/>
                <w:sz w:val="22"/>
                <w:szCs w:val="22"/>
              </w:rPr>
              <w:lastRenderedPageBreak/>
              <w:t>8</w:t>
            </w:r>
          </w:p>
        </w:tc>
        <w:tc>
          <w:tcPr>
            <w:tcW w:w="1798" w:type="dxa"/>
          </w:tcPr>
          <w:p w:rsidR="00E61DE9" w:rsidRPr="00C90BBF" w:rsidRDefault="00E61DE9" w:rsidP="00AB2CE5">
            <w:pPr>
              <w:pStyle w:val="Default"/>
              <w:rPr>
                <w:rFonts w:asciiTheme="minorHAnsi" w:hAnsiTheme="minorHAnsi" w:cstheme="minorHAnsi"/>
                <w:sz w:val="22"/>
                <w:szCs w:val="22"/>
              </w:rPr>
            </w:pPr>
            <w:r w:rsidRPr="00C90BBF">
              <w:rPr>
                <w:rFonts w:asciiTheme="minorHAnsi" w:hAnsiTheme="minorHAnsi" w:cstheme="minorHAnsi"/>
                <w:sz w:val="22"/>
                <w:szCs w:val="22"/>
              </w:rPr>
              <w:t xml:space="preserve">Para 2.3, Section 1.2, </w:t>
            </w:r>
            <w:proofErr w:type="spellStart"/>
            <w:r w:rsidRPr="00C90BBF">
              <w:rPr>
                <w:rFonts w:asciiTheme="minorHAnsi" w:hAnsiTheme="minorHAnsi" w:cstheme="minorHAnsi"/>
                <w:sz w:val="22"/>
                <w:szCs w:val="22"/>
              </w:rPr>
              <w:t>Vol</w:t>
            </w:r>
            <w:proofErr w:type="spellEnd"/>
            <w:r w:rsidRPr="00C90BBF">
              <w:rPr>
                <w:rFonts w:asciiTheme="minorHAnsi" w:hAnsiTheme="minorHAnsi" w:cstheme="minorHAnsi"/>
                <w:sz w:val="22"/>
                <w:szCs w:val="22"/>
              </w:rPr>
              <w:t xml:space="preserve"> III</w:t>
            </w:r>
          </w:p>
        </w:tc>
        <w:tc>
          <w:tcPr>
            <w:tcW w:w="1887" w:type="dxa"/>
          </w:tcPr>
          <w:p w:rsidR="00E61DE9" w:rsidRPr="00C90BBF" w:rsidRDefault="00E61DE9" w:rsidP="00AB2CE5">
            <w:pPr>
              <w:spacing w:after="100" w:afterAutospacing="1" w:line="240" w:lineRule="auto"/>
              <w:rPr>
                <w:rFonts w:cstheme="minorHAnsi"/>
              </w:rPr>
            </w:pPr>
            <w:r w:rsidRPr="00C90BBF">
              <w:rPr>
                <w:rFonts w:cstheme="minorHAnsi"/>
              </w:rPr>
              <w:t>General Conditions of Contract</w:t>
            </w:r>
          </w:p>
        </w:tc>
        <w:tc>
          <w:tcPr>
            <w:tcW w:w="4966" w:type="dxa"/>
          </w:tcPr>
          <w:p w:rsidR="00E61DE9" w:rsidRPr="00C90BBF" w:rsidRDefault="00E61DE9" w:rsidP="00AB2CE5">
            <w:pPr>
              <w:contextualSpacing/>
              <w:jc w:val="both"/>
              <w:rPr>
                <w:rFonts w:cstheme="minorHAnsi"/>
              </w:rPr>
            </w:pPr>
            <w:r w:rsidRPr="00C90BBF">
              <w:rPr>
                <w:rFonts w:cstheme="minorHAnsi"/>
              </w:rPr>
              <w:t>The Software Solution Provider shall begin carrying out the Services not later than 10 days after the Effective Date specified in the SC.</w:t>
            </w:r>
          </w:p>
        </w:tc>
        <w:tc>
          <w:tcPr>
            <w:tcW w:w="5233" w:type="dxa"/>
          </w:tcPr>
          <w:p w:rsidR="00E61DE9" w:rsidRPr="00C90BBF" w:rsidRDefault="00E61DE9" w:rsidP="00AB2CE5">
            <w:pPr>
              <w:pStyle w:val="Default"/>
              <w:spacing w:after="100" w:afterAutospacing="1"/>
              <w:rPr>
                <w:rFonts w:asciiTheme="minorHAnsi" w:hAnsiTheme="minorHAnsi" w:cstheme="minorHAnsi"/>
                <w:sz w:val="22"/>
                <w:szCs w:val="22"/>
              </w:rPr>
            </w:pPr>
            <w:r w:rsidRPr="00C90BBF">
              <w:rPr>
                <w:rFonts w:asciiTheme="minorHAnsi" w:hAnsiTheme="minorHAnsi" w:cstheme="minorHAnsi"/>
                <w:sz w:val="22"/>
                <w:szCs w:val="22"/>
              </w:rPr>
              <w:t>The Software Solution Provider shall begin carrying out the Services not later than 15 days from award of Letter of Intent by UIDAI.</w:t>
            </w:r>
          </w:p>
        </w:tc>
      </w:tr>
    </w:tbl>
    <w:p w:rsidR="00C90BBF" w:rsidRDefault="00C90BBF" w:rsidP="00C52DA1">
      <w:pPr>
        <w:spacing w:after="0" w:line="240" w:lineRule="auto"/>
        <w:jc w:val="both"/>
        <w:rPr>
          <w:rFonts w:cstheme="minorHAnsi"/>
          <w:b/>
          <w:bCs/>
        </w:rPr>
      </w:pPr>
    </w:p>
    <w:p w:rsidR="002D2B2D" w:rsidRPr="00C90BBF" w:rsidRDefault="003B62F9" w:rsidP="00C52DA1">
      <w:pPr>
        <w:spacing w:after="0" w:line="240" w:lineRule="auto"/>
        <w:jc w:val="both"/>
        <w:rPr>
          <w:rFonts w:cstheme="minorHAnsi"/>
          <w:b/>
          <w:bCs/>
        </w:rPr>
      </w:pPr>
      <w:r w:rsidRPr="00C90BBF">
        <w:rPr>
          <w:rFonts w:cstheme="minorHAnsi"/>
          <w:b/>
          <w:bCs/>
        </w:rPr>
        <w:t>NB: Since, Form Tech-6 has bee</w:t>
      </w:r>
      <w:r w:rsidR="00C27BD2" w:rsidRPr="00C90BBF">
        <w:rPr>
          <w:rFonts w:cstheme="minorHAnsi"/>
          <w:b/>
          <w:bCs/>
        </w:rPr>
        <w:t xml:space="preserve">n deleted from Section 4, </w:t>
      </w:r>
      <w:proofErr w:type="spellStart"/>
      <w:r w:rsidR="00255DC2" w:rsidRPr="00C90BBF">
        <w:rPr>
          <w:rFonts w:cstheme="minorHAnsi"/>
          <w:b/>
          <w:bCs/>
        </w:rPr>
        <w:t>Vol</w:t>
      </w:r>
      <w:proofErr w:type="spellEnd"/>
      <w:r w:rsidR="00255DC2" w:rsidRPr="00C90BBF">
        <w:rPr>
          <w:rFonts w:cstheme="minorHAnsi"/>
          <w:b/>
          <w:bCs/>
        </w:rPr>
        <w:t>-</w:t>
      </w:r>
      <w:proofErr w:type="gramStart"/>
      <w:r w:rsidR="00255DC2" w:rsidRPr="00C90BBF">
        <w:rPr>
          <w:rFonts w:cstheme="minorHAnsi"/>
          <w:b/>
          <w:bCs/>
        </w:rPr>
        <w:t>I,</w:t>
      </w:r>
      <w:proofErr w:type="gramEnd"/>
      <w:r w:rsidR="00255DC2" w:rsidRPr="00C90BBF">
        <w:rPr>
          <w:rFonts w:cstheme="minorHAnsi"/>
          <w:b/>
          <w:bCs/>
        </w:rPr>
        <w:t xml:space="preserve"> and the same has been p</w:t>
      </w:r>
      <w:r w:rsidR="00383E4A" w:rsidRPr="00C90BBF">
        <w:rPr>
          <w:rFonts w:cstheme="minorHAnsi"/>
          <w:b/>
          <w:bCs/>
        </w:rPr>
        <w:t xml:space="preserve">laced as Form Fin-7 in Section 5, </w:t>
      </w:r>
      <w:proofErr w:type="spellStart"/>
      <w:r w:rsidR="00383E4A" w:rsidRPr="00C90BBF">
        <w:rPr>
          <w:rFonts w:cstheme="minorHAnsi"/>
          <w:b/>
          <w:bCs/>
        </w:rPr>
        <w:t>Vol</w:t>
      </w:r>
      <w:proofErr w:type="spellEnd"/>
      <w:r w:rsidR="00383E4A" w:rsidRPr="00C90BBF">
        <w:rPr>
          <w:rFonts w:cstheme="minorHAnsi"/>
          <w:b/>
          <w:bCs/>
        </w:rPr>
        <w:t xml:space="preserve">-I, </w:t>
      </w:r>
      <w:r w:rsidR="00726E35" w:rsidRPr="00C90BBF">
        <w:rPr>
          <w:rFonts w:cstheme="minorHAnsi"/>
          <w:b/>
          <w:bCs/>
        </w:rPr>
        <w:t xml:space="preserve">hence this form may not be submitted as a part of Technical Proposal, it should be submitted as part of </w:t>
      </w:r>
      <w:r w:rsidR="00C27BD2" w:rsidRPr="00C90BBF">
        <w:rPr>
          <w:rFonts w:cstheme="minorHAnsi"/>
          <w:b/>
          <w:bCs/>
        </w:rPr>
        <w:t>Financial Proposal.</w:t>
      </w:r>
    </w:p>
    <w:p w:rsidR="008E3A4A" w:rsidRDefault="008E3A4A"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727258" w:rsidRDefault="00727258" w:rsidP="008E3A4A">
      <w:pPr>
        <w:widowControl w:val="0"/>
        <w:autoSpaceDE w:val="0"/>
        <w:autoSpaceDN w:val="0"/>
        <w:adjustRightInd w:val="0"/>
        <w:spacing w:after="0"/>
        <w:ind w:right="-15"/>
        <w:rPr>
          <w:b/>
          <w:bCs/>
          <w:sz w:val="23"/>
          <w:szCs w:val="23"/>
        </w:rPr>
      </w:pPr>
    </w:p>
    <w:p w:rsidR="008E3A4A" w:rsidRPr="008E3A4A" w:rsidRDefault="00F52C01" w:rsidP="008E3A4A">
      <w:pPr>
        <w:widowControl w:val="0"/>
        <w:autoSpaceDE w:val="0"/>
        <w:autoSpaceDN w:val="0"/>
        <w:adjustRightInd w:val="0"/>
        <w:spacing w:after="0"/>
        <w:ind w:right="-15"/>
        <w:jc w:val="center"/>
        <w:rPr>
          <w:b/>
          <w:bCs/>
          <w:sz w:val="23"/>
          <w:szCs w:val="23"/>
          <w:u w:val="single"/>
        </w:rPr>
      </w:pPr>
      <w:r>
        <w:rPr>
          <w:b/>
          <w:bCs/>
          <w:sz w:val="23"/>
          <w:szCs w:val="23"/>
          <w:u w:val="single"/>
        </w:rPr>
        <w:lastRenderedPageBreak/>
        <w:t>A</w:t>
      </w:r>
      <w:r w:rsidR="008E3A4A" w:rsidRPr="008E3A4A">
        <w:rPr>
          <w:b/>
          <w:bCs/>
          <w:sz w:val="23"/>
          <w:szCs w:val="23"/>
          <w:u w:val="single"/>
        </w:rPr>
        <w:t>nnexure</w:t>
      </w:r>
      <w:r w:rsidR="003F79CC">
        <w:rPr>
          <w:b/>
          <w:bCs/>
          <w:sz w:val="23"/>
          <w:szCs w:val="23"/>
          <w:u w:val="single"/>
        </w:rPr>
        <w:t xml:space="preserve"> A</w:t>
      </w:r>
    </w:p>
    <w:p w:rsidR="008E3A4A" w:rsidRDefault="008E3A4A" w:rsidP="008E3A4A">
      <w:pPr>
        <w:widowControl w:val="0"/>
        <w:autoSpaceDE w:val="0"/>
        <w:autoSpaceDN w:val="0"/>
        <w:adjustRightInd w:val="0"/>
        <w:spacing w:after="0"/>
        <w:ind w:right="-15"/>
      </w:pPr>
      <w:r>
        <w:rPr>
          <w:b/>
          <w:bCs/>
          <w:sz w:val="23"/>
          <w:szCs w:val="23"/>
        </w:rPr>
        <w:t>Table 1</w:t>
      </w:r>
      <w:r w:rsidR="00AF455C">
        <w:rPr>
          <w:b/>
          <w:bCs/>
          <w:sz w:val="23"/>
          <w:szCs w:val="23"/>
        </w:rPr>
        <w:t xml:space="preserve"> (</w:t>
      </w:r>
      <w:r w:rsidR="00AF455C">
        <w:rPr>
          <w:b/>
          <w:bCs/>
        </w:rPr>
        <w:t>Existing clause/provision</w:t>
      </w:r>
      <w:r w:rsidR="00AF455C">
        <w:rPr>
          <w:b/>
          <w:bCs/>
          <w:sz w:val="23"/>
          <w:szCs w:val="23"/>
        </w:rPr>
        <w:t>)</w:t>
      </w:r>
    </w:p>
    <w:p w:rsidR="00956928" w:rsidRPr="00FA4265" w:rsidRDefault="00956928" w:rsidP="00956928">
      <w:pPr>
        <w:rPr>
          <w:b/>
        </w:rPr>
      </w:pPr>
      <w:bookmarkStart w:id="0" w:name="_Toc283142944"/>
      <w:r w:rsidRPr="00FA4265">
        <w:rPr>
          <w:b/>
        </w:rPr>
        <w:t>Capping of Penalties</w:t>
      </w:r>
      <w:bookmarkEnd w:id="0"/>
    </w:p>
    <w:tbl>
      <w:tblPr>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607"/>
        <w:gridCol w:w="5245"/>
      </w:tblGrid>
      <w:tr w:rsidR="00956928" w:rsidRPr="00E1306D" w:rsidTr="00494912">
        <w:tc>
          <w:tcPr>
            <w:tcW w:w="738" w:type="dxa"/>
            <w:shd w:val="clear" w:color="auto" w:fill="C6D9F1"/>
          </w:tcPr>
          <w:p w:rsidR="00956928" w:rsidRPr="00E1306D" w:rsidRDefault="00956928" w:rsidP="000D02E5">
            <w:pPr>
              <w:jc w:val="center"/>
              <w:rPr>
                <w:rFonts w:asciiTheme="majorHAnsi" w:hAnsiTheme="majorHAnsi"/>
                <w:b/>
              </w:rPr>
            </w:pPr>
            <w:r w:rsidRPr="00E1306D">
              <w:rPr>
                <w:rFonts w:asciiTheme="majorHAnsi" w:hAnsiTheme="majorHAnsi"/>
                <w:b/>
              </w:rPr>
              <w:t>S.no.</w:t>
            </w:r>
          </w:p>
        </w:tc>
        <w:tc>
          <w:tcPr>
            <w:tcW w:w="5607" w:type="dxa"/>
            <w:shd w:val="clear" w:color="auto" w:fill="C6D9F1"/>
          </w:tcPr>
          <w:p w:rsidR="00956928" w:rsidRPr="00E1306D" w:rsidRDefault="00956928" w:rsidP="000D02E5">
            <w:pPr>
              <w:jc w:val="center"/>
              <w:rPr>
                <w:rFonts w:asciiTheme="majorHAnsi" w:hAnsiTheme="majorHAnsi"/>
                <w:b/>
              </w:rPr>
            </w:pPr>
            <w:r w:rsidRPr="00E1306D">
              <w:rPr>
                <w:rFonts w:asciiTheme="majorHAnsi" w:hAnsiTheme="majorHAnsi"/>
                <w:b/>
              </w:rPr>
              <w:t>Description</w:t>
            </w:r>
          </w:p>
        </w:tc>
        <w:tc>
          <w:tcPr>
            <w:tcW w:w="5245" w:type="dxa"/>
            <w:shd w:val="clear" w:color="auto" w:fill="C6D9F1"/>
          </w:tcPr>
          <w:p w:rsidR="00956928" w:rsidRPr="00E1306D" w:rsidRDefault="00956928" w:rsidP="000D02E5">
            <w:pPr>
              <w:jc w:val="center"/>
              <w:rPr>
                <w:rFonts w:asciiTheme="majorHAnsi" w:hAnsiTheme="majorHAnsi"/>
                <w:b/>
              </w:rPr>
            </w:pPr>
            <w:r w:rsidRPr="00E1306D">
              <w:rPr>
                <w:rFonts w:asciiTheme="majorHAnsi" w:hAnsiTheme="majorHAnsi"/>
                <w:b/>
              </w:rPr>
              <w:t>Penalty Capping Value</w:t>
            </w:r>
          </w:p>
        </w:tc>
      </w:tr>
      <w:tr w:rsidR="00956928" w:rsidRPr="00E1306D" w:rsidTr="00494912">
        <w:tc>
          <w:tcPr>
            <w:tcW w:w="738" w:type="dxa"/>
          </w:tcPr>
          <w:p w:rsidR="00956928" w:rsidRPr="00E1306D" w:rsidRDefault="00956928" w:rsidP="000D02E5">
            <w:pPr>
              <w:jc w:val="center"/>
              <w:rPr>
                <w:rFonts w:asciiTheme="majorHAnsi" w:hAnsiTheme="majorHAnsi"/>
              </w:rPr>
            </w:pPr>
            <w:r w:rsidRPr="00E1306D">
              <w:rPr>
                <w:rFonts w:asciiTheme="majorHAnsi" w:hAnsiTheme="majorHAnsi"/>
              </w:rPr>
              <w:t>1</w:t>
            </w:r>
          </w:p>
        </w:tc>
        <w:tc>
          <w:tcPr>
            <w:tcW w:w="5607" w:type="dxa"/>
          </w:tcPr>
          <w:p w:rsidR="00956928" w:rsidRPr="00E1306D" w:rsidRDefault="00956928" w:rsidP="000D02E5">
            <w:pPr>
              <w:rPr>
                <w:rFonts w:asciiTheme="majorHAnsi" w:hAnsiTheme="majorHAnsi"/>
              </w:rPr>
            </w:pPr>
            <w:r>
              <w:rPr>
                <w:rFonts w:asciiTheme="majorHAnsi" w:hAnsiTheme="majorHAnsi"/>
              </w:rPr>
              <w:t>All penalties</w:t>
            </w:r>
          </w:p>
        </w:tc>
        <w:tc>
          <w:tcPr>
            <w:tcW w:w="5245" w:type="dxa"/>
          </w:tcPr>
          <w:p w:rsidR="00956928" w:rsidRPr="00E1306D" w:rsidRDefault="00956928" w:rsidP="000D02E5">
            <w:pPr>
              <w:rPr>
                <w:rFonts w:asciiTheme="majorHAnsi" w:hAnsiTheme="majorHAnsi"/>
              </w:rPr>
            </w:pPr>
            <w:r w:rsidRPr="001009A1">
              <w:rPr>
                <w:rFonts w:asciiTheme="majorHAnsi" w:hAnsiTheme="majorHAnsi"/>
              </w:rPr>
              <w:t>10% of the project value</w:t>
            </w:r>
          </w:p>
        </w:tc>
      </w:tr>
    </w:tbl>
    <w:p w:rsidR="00D43E49" w:rsidRDefault="00D43E49" w:rsidP="00AF455C">
      <w:pPr>
        <w:widowControl w:val="0"/>
        <w:autoSpaceDE w:val="0"/>
        <w:autoSpaceDN w:val="0"/>
        <w:adjustRightInd w:val="0"/>
        <w:spacing w:after="0"/>
        <w:ind w:right="-15"/>
        <w:rPr>
          <w:b/>
          <w:bCs/>
          <w:sz w:val="23"/>
          <w:szCs w:val="23"/>
        </w:rPr>
      </w:pPr>
    </w:p>
    <w:p w:rsidR="00AF455C" w:rsidRDefault="00AF455C" w:rsidP="00AF455C">
      <w:pPr>
        <w:widowControl w:val="0"/>
        <w:autoSpaceDE w:val="0"/>
        <w:autoSpaceDN w:val="0"/>
        <w:adjustRightInd w:val="0"/>
        <w:spacing w:after="0"/>
        <w:ind w:right="-15"/>
        <w:rPr>
          <w:b/>
          <w:bCs/>
          <w:sz w:val="23"/>
          <w:szCs w:val="23"/>
        </w:rPr>
      </w:pPr>
      <w:r>
        <w:rPr>
          <w:b/>
          <w:bCs/>
          <w:sz w:val="23"/>
          <w:szCs w:val="23"/>
        </w:rPr>
        <w:t>Table 2(</w:t>
      </w:r>
      <w:r>
        <w:rPr>
          <w:b/>
          <w:bCs/>
        </w:rPr>
        <w:t>Revised clause/provision</w:t>
      </w:r>
      <w:r>
        <w:rPr>
          <w:b/>
          <w:bCs/>
          <w:sz w:val="23"/>
          <w:szCs w:val="23"/>
        </w:rPr>
        <w:t>)</w:t>
      </w:r>
    </w:p>
    <w:p w:rsidR="00956928" w:rsidRPr="00FA4265" w:rsidRDefault="00956928" w:rsidP="00956928">
      <w:pPr>
        <w:rPr>
          <w:b/>
        </w:rPr>
      </w:pPr>
      <w:r w:rsidRPr="00FA4265">
        <w:rPr>
          <w:b/>
        </w:rPr>
        <w:t>Capping of Penalties</w:t>
      </w:r>
    </w:p>
    <w:tbl>
      <w:tblPr>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646"/>
        <w:gridCol w:w="5206"/>
      </w:tblGrid>
      <w:tr w:rsidR="00956928" w:rsidRPr="00E1306D" w:rsidTr="00494912">
        <w:tc>
          <w:tcPr>
            <w:tcW w:w="738" w:type="dxa"/>
            <w:shd w:val="clear" w:color="auto" w:fill="C6D9F1"/>
          </w:tcPr>
          <w:p w:rsidR="00956928" w:rsidRPr="00E1306D" w:rsidRDefault="00956928" w:rsidP="000D02E5">
            <w:pPr>
              <w:jc w:val="center"/>
              <w:rPr>
                <w:rFonts w:asciiTheme="majorHAnsi" w:hAnsiTheme="majorHAnsi"/>
                <w:b/>
              </w:rPr>
            </w:pPr>
            <w:r w:rsidRPr="00E1306D">
              <w:rPr>
                <w:rFonts w:asciiTheme="majorHAnsi" w:hAnsiTheme="majorHAnsi"/>
                <w:b/>
              </w:rPr>
              <w:t>S.no.</w:t>
            </w:r>
          </w:p>
        </w:tc>
        <w:tc>
          <w:tcPr>
            <w:tcW w:w="5646" w:type="dxa"/>
            <w:shd w:val="clear" w:color="auto" w:fill="C6D9F1"/>
          </w:tcPr>
          <w:p w:rsidR="00956928" w:rsidRPr="00E1306D" w:rsidRDefault="00956928" w:rsidP="000D02E5">
            <w:pPr>
              <w:jc w:val="center"/>
              <w:rPr>
                <w:rFonts w:asciiTheme="majorHAnsi" w:hAnsiTheme="majorHAnsi"/>
                <w:b/>
              </w:rPr>
            </w:pPr>
            <w:r w:rsidRPr="00E1306D">
              <w:rPr>
                <w:rFonts w:asciiTheme="majorHAnsi" w:hAnsiTheme="majorHAnsi"/>
                <w:b/>
              </w:rPr>
              <w:t>Description</w:t>
            </w:r>
          </w:p>
        </w:tc>
        <w:tc>
          <w:tcPr>
            <w:tcW w:w="5206" w:type="dxa"/>
            <w:shd w:val="clear" w:color="auto" w:fill="C6D9F1"/>
          </w:tcPr>
          <w:p w:rsidR="00956928" w:rsidRPr="00E1306D" w:rsidRDefault="00956928" w:rsidP="000D02E5">
            <w:pPr>
              <w:jc w:val="center"/>
              <w:rPr>
                <w:rFonts w:asciiTheme="majorHAnsi" w:hAnsiTheme="majorHAnsi"/>
                <w:b/>
              </w:rPr>
            </w:pPr>
            <w:r w:rsidRPr="00E1306D">
              <w:rPr>
                <w:rFonts w:asciiTheme="majorHAnsi" w:hAnsiTheme="majorHAnsi"/>
                <w:b/>
              </w:rPr>
              <w:t>Penalty Capping Value</w:t>
            </w:r>
          </w:p>
        </w:tc>
      </w:tr>
      <w:tr w:rsidR="00956928" w:rsidRPr="00E1306D" w:rsidTr="00494912">
        <w:tc>
          <w:tcPr>
            <w:tcW w:w="738" w:type="dxa"/>
          </w:tcPr>
          <w:p w:rsidR="00956928" w:rsidRPr="00E1306D" w:rsidRDefault="00956928" w:rsidP="000D02E5">
            <w:pPr>
              <w:jc w:val="center"/>
              <w:rPr>
                <w:rFonts w:asciiTheme="majorHAnsi" w:hAnsiTheme="majorHAnsi"/>
              </w:rPr>
            </w:pPr>
            <w:r w:rsidRPr="00E1306D">
              <w:rPr>
                <w:rFonts w:asciiTheme="majorHAnsi" w:hAnsiTheme="majorHAnsi"/>
              </w:rPr>
              <w:t>1</w:t>
            </w:r>
          </w:p>
        </w:tc>
        <w:tc>
          <w:tcPr>
            <w:tcW w:w="5646" w:type="dxa"/>
          </w:tcPr>
          <w:p w:rsidR="00956928" w:rsidRPr="00E1306D" w:rsidRDefault="00956928" w:rsidP="000D02E5">
            <w:pPr>
              <w:rPr>
                <w:rFonts w:asciiTheme="majorHAnsi" w:hAnsiTheme="majorHAnsi"/>
              </w:rPr>
            </w:pPr>
            <w:r>
              <w:rPr>
                <w:rFonts w:asciiTheme="majorHAnsi" w:hAnsiTheme="majorHAnsi"/>
              </w:rPr>
              <w:t>All penalties excluding warranty penalties</w:t>
            </w:r>
          </w:p>
        </w:tc>
        <w:tc>
          <w:tcPr>
            <w:tcW w:w="5206" w:type="dxa"/>
          </w:tcPr>
          <w:p w:rsidR="00956928" w:rsidRPr="00E1306D" w:rsidRDefault="00956928" w:rsidP="000D02E5">
            <w:pPr>
              <w:rPr>
                <w:rFonts w:asciiTheme="majorHAnsi" w:hAnsiTheme="majorHAnsi"/>
              </w:rPr>
            </w:pPr>
            <w:r w:rsidRPr="001009A1">
              <w:rPr>
                <w:rFonts w:asciiTheme="majorHAnsi" w:hAnsiTheme="majorHAnsi"/>
              </w:rPr>
              <w:t>10% of the project value</w:t>
            </w:r>
            <w:r>
              <w:rPr>
                <w:rFonts w:asciiTheme="majorHAnsi" w:hAnsiTheme="majorHAnsi"/>
              </w:rPr>
              <w:t xml:space="preserve"> excluding warranty cost component</w:t>
            </w:r>
          </w:p>
        </w:tc>
      </w:tr>
      <w:tr w:rsidR="006D7381" w:rsidRPr="00E1306D" w:rsidTr="00494912">
        <w:tc>
          <w:tcPr>
            <w:tcW w:w="738" w:type="dxa"/>
          </w:tcPr>
          <w:p w:rsidR="006D7381" w:rsidRPr="00E1306D" w:rsidRDefault="006D7381" w:rsidP="000D02E5">
            <w:pPr>
              <w:jc w:val="center"/>
              <w:rPr>
                <w:rFonts w:asciiTheme="majorHAnsi" w:hAnsiTheme="majorHAnsi"/>
              </w:rPr>
            </w:pPr>
            <w:r>
              <w:rPr>
                <w:rFonts w:asciiTheme="majorHAnsi" w:hAnsiTheme="majorHAnsi"/>
              </w:rPr>
              <w:t>2</w:t>
            </w:r>
          </w:p>
        </w:tc>
        <w:tc>
          <w:tcPr>
            <w:tcW w:w="5646" w:type="dxa"/>
          </w:tcPr>
          <w:p w:rsidR="006D7381" w:rsidRDefault="006D7381" w:rsidP="000D02E5">
            <w:pPr>
              <w:rPr>
                <w:rFonts w:asciiTheme="majorHAnsi" w:hAnsiTheme="majorHAnsi"/>
              </w:rPr>
            </w:pPr>
            <w:r>
              <w:rPr>
                <w:rFonts w:asciiTheme="majorHAnsi" w:hAnsiTheme="majorHAnsi"/>
              </w:rPr>
              <w:t>Warranty Penalties</w:t>
            </w:r>
          </w:p>
        </w:tc>
        <w:tc>
          <w:tcPr>
            <w:tcW w:w="5206" w:type="dxa"/>
          </w:tcPr>
          <w:p w:rsidR="006D7381" w:rsidRPr="001009A1" w:rsidRDefault="006D7381" w:rsidP="006D7381">
            <w:pPr>
              <w:rPr>
                <w:rFonts w:asciiTheme="majorHAnsi" w:hAnsiTheme="majorHAnsi"/>
              </w:rPr>
            </w:pPr>
            <w:r w:rsidRPr="001009A1">
              <w:rPr>
                <w:rFonts w:asciiTheme="majorHAnsi" w:hAnsiTheme="majorHAnsi"/>
              </w:rPr>
              <w:t xml:space="preserve">10% of the </w:t>
            </w:r>
            <w:r>
              <w:rPr>
                <w:rFonts w:asciiTheme="majorHAnsi" w:hAnsiTheme="majorHAnsi"/>
              </w:rPr>
              <w:t>warranty cost component</w:t>
            </w:r>
          </w:p>
        </w:tc>
      </w:tr>
    </w:tbl>
    <w:p w:rsidR="00956928" w:rsidRDefault="00956928" w:rsidP="00AF455C">
      <w:pPr>
        <w:widowControl w:val="0"/>
        <w:autoSpaceDE w:val="0"/>
        <w:autoSpaceDN w:val="0"/>
        <w:adjustRightInd w:val="0"/>
        <w:spacing w:after="0"/>
        <w:ind w:right="-15"/>
        <w:rPr>
          <w:b/>
          <w:bCs/>
          <w:sz w:val="23"/>
          <w:szCs w:val="23"/>
        </w:rPr>
      </w:pPr>
    </w:p>
    <w:p w:rsidR="00D43E49" w:rsidRPr="003A52A1" w:rsidRDefault="00D43E49" w:rsidP="00D43E49">
      <w:r>
        <w:t xml:space="preserve">Further, the SSP is expected to respond to requests for support in fixing issues as found during usage of SRDH at States during the warranty period promptly. During the warranty period, Service Level Agreements and associated penalties as shown </w:t>
      </w:r>
      <w:r w:rsidR="00EB6B7D">
        <w:t>below</w:t>
      </w:r>
      <w:r>
        <w:t xml:space="preserve"> will be imposed on SSP.</w:t>
      </w:r>
    </w:p>
    <w:p w:rsidR="00D43E49" w:rsidRPr="004E38DC" w:rsidRDefault="00956928" w:rsidP="00D43E49">
      <w:pPr>
        <w:rPr>
          <w:b/>
        </w:rPr>
      </w:pPr>
      <w:r>
        <w:rPr>
          <w:b/>
        </w:rPr>
        <w:t>Warranty</w:t>
      </w:r>
      <w:r w:rsidR="00D43E49" w:rsidRPr="004E38DC">
        <w:rPr>
          <w:b/>
        </w:rPr>
        <w:t xml:space="preserve"> penalty chart</w:t>
      </w:r>
    </w:p>
    <w:tbl>
      <w:tblPr>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4880"/>
        <w:gridCol w:w="1842"/>
        <w:gridCol w:w="4111"/>
      </w:tblGrid>
      <w:tr w:rsidR="008D7055" w:rsidRPr="00E1306D" w:rsidTr="008D1F43">
        <w:trPr>
          <w:tblHeader/>
        </w:trPr>
        <w:tc>
          <w:tcPr>
            <w:tcW w:w="757" w:type="dxa"/>
            <w:shd w:val="clear" w:color="auto" w:fill="C6D9F1"/>
          </w:tcPr>
          <w:p w:rsidR="008D7055" w:rsidRPr="00E1306D" w:rsidRDefault="008D7055" w:rsidP="000D02E5">
            <w:pPr>
              <w:jc w:val="center"/>
              <w:rPr>
                <w:rFonts w:asciiTheme="majorHAnsi" w:hAnsiTheme="majorHAnsi"/>
                <w:b/>
              </w:rPr>
            </w:pPr>
            <w:r w:rsidRPr="00E1306D">
              <w:rPr>
                <w:rFonts w:asciiTheme="majorHAnsi" w:hAnsiTheme="majorHAnsi"/>
                <w:b/>
              </w:rPr>
              <w:t>S</w:t>
            </w:r>
            <w:r>
              <w:rPr>
                <w:rFonts w:asciiTheme="majorHAnsi" w:hAnsiTheme="majorHAnsi"/>
                <w:b/>
              </w:rPr>
              <w:t>l.</w:t>
            </w:r>
            <w:r w:rsidRPr="00E1306D">
              <w:rPr>
                <w:rFonts w:asciiTheme="majorHAnsi" w:hAnsiTheme="majorHAnsi"/>
                <w:b/>
              </w:rPr>
              <w:t>no.</w:t>
            </w:r>
          </w:p>
        </w:tc>
        <w:tc>
          <w:tcPr>
            <w:tcW w:w="4880" w:type="dxa"/>
            <w:shd w:val="clear" w:color="auto" w:fill="C6D9F1"/>
          </w:tcPr>
          <w:p w:rsidR="008D7055" w:rsidRPr="00E1306D" w:rsidRDefault="008D7055" w:rsidP="000D02E5">
            <w:pPr>
              <w:jc w:val="center"/>
              <w:rPr>
                <w:rFonts w:asciiTheme="majorHAnsi" w:hAnsiTheme="majorHAnsi"/>
                <w:b/>
              </w:rPr>
            </w:pPr>
            <w:r w:rsidRPr="00E1306D">
              <w:rPr>
                <w:rFonts w:asciiTheme="majorHAnsi" w:hAnsiTheme="majorHAnsi"/>
                <w:b/>
              </w:rPr>
              <w:t>Description</w:t>
            </w:r>
          </w:p>
        </w:tc>
        <w:tc>
          <w:tcPr>
            <w:tcW w:w="1842" w:type="dxa"/>
            <w:shd w:val="clear" w:color="auto" w:fill="C6D9F1"/>
          </w:tcPr>
          <w:p w:rsidR="008D7055" w:rsidRPr="00E1306D" w:rsidRDefault="008D7055" w:rsidP="000D02E5">
            <w:pPr>
              <w:jc w:val="center"/>
              <w:rPr>
                <w:rFonts w:asciiTheme="majorHAnsi" w:hAnsiTheme="majorHAnsi"/>
                <w:b/>
              </w:rPr>
            </w:pPr>
            <w:r w:rsidRPr="00E1306D">
              <w:rPr>
                <w:rFonts w:asciiTheme="majorHAnsi" w:hAnsiTheme="majorHAnsi"/>
                <w:b/>
              </w:rPr>
              <w:t>Metric</w:t>
            </w:r>
          </w:p>
        </w:tc>
        <w:tc>
          <w:tcPr>
            <w:tcW w:w="4111" w:type="dxa"/>
            <w:shd w:val="clear" w:color="auto" w:fill="C6D9F1"/>
          </w:tcPr>
          <w:p w:rsidR="008D7055" w:rsidRPr="00E1306D" w:rsidRDefault="008D7055" w:rsidP="000D02E5">
            <w:pPr>
              <w:jc w:val="center"/>
              <w:rPr>
                <w:rFonts w:asciiTheme="majorHAnsi" w:hAnsiTheme="majorHAnsi"/>
                <w:b/>
              </w:rPr>
            </w:pPr>
            <w:r w:rsidRPr="00E1306D">
              <w:rPr>
                <w:rFonts w:asciiTheme="majorHAnsi" w:hAnsiTheme="majorHAnsi"/>
                <w:b/>
              </w:rPr>
              <w:t>Penalties</w:t>
            </w:r>
          </w:p>
        </w:tc>
      </w:tr>
      <w:tr w:rsidR="008D7055" w:rsidRPr="00E1306D" w:rsidTr="00494912">
        <w:trPr>
          <w:trHeight w:val="570"/>
        </w:trPr>
        <w:tc>
          <w:tcPr>
            <w:tcW w:w="757" w:type="dxa"/>
            <w:vAlign w:val="center"/>
          </w:tcPr>
          <w:p w:rsidR="008D7055" w:rsidRPr="00E1306D" w:rsidRDefault="008D7055" w:rsidP="000D02E5">
            <w:pPr>
              <w:jc w:val="center"/>
              <w:rPr>
                <w:rFonts w:asciiTheme="majorHAnsi" w:hAnsiTheme="majorHAnsi"/>
              </w:rPr>
            </w:pPr>
          </w:p>
        </w:tc>
        <w:tc>
          <w:tcPr>
            <w:tcW w:w="4880" w:type="dxa"/>
            <w:vAlign w:val="center"/>
          </w:tcPr>
          <w:p w:rsidR="008D7055" w:rsidRDefault="008D7055" w:rsidP="000D02E5">
            <w:pPr>
              <w:rPr>
                <w:rFonts w:asciiTheme="majorHAnsi" w:hAnsiTheme="majorHAnsi"/>
              </w:rPr>
            </w:pPr>
            <w:r>
              <w:rPr>
                <w:rFonts w:asciiTheme="majorHAnsi" w:hAnsiTheme="majorHAnsi"/>
              </w:rPr>
              <w:t>Errors which lead to un-usability of a feature of the application without any workaround is considered high severity.</w:t>
            </w:r>
          </w:p>
          <w:p w:rsidR="008D7055" w:rsidRPr="00E1306D" w:rsidRDefault="008D7055" w:rsidP="000D02E5">
            <w:pPr>
              <w:rPr>
                <w:rFonts w:asciiTheme="majorHAnsi" w:hAnsiTheme="majorHAnsi"/>
              </w:rPr>
            </w:pPr>
            <w:r>
              <w:rPr>
                <w:rFonts w:asciiTheme="majorHAnsi" w:hAnsiTheme="majorHAnsi"/>
              </w:rPr>
              <w:t xml:space="preserve">SSP is expected to fix any high severity error </w:t>
            </w:r>
            <w:r>
              <w:rPr>
                <w:rFonts w:asciiTheme="majorHAnsi" w:hAnsiTheme="majorHAnsi"/>
              </w:rPr>
              <w:lastRenderedPageBreak/>
              <w:t>within 3 days of it being reported</w:t>
            </w:r>
          </w:p>
        </w:tc>
        <w:tc>
          <w:tcPr>
            <w:tcW w:w="1842" w:type="dxa"/>
            <w:tcBorders>
              <w:bottom w:val="single" w:sz="4" w:space="0" w:color="auto"/>
            </w:tcBorders>
          </w:tcPr>
          <w:p w:rsidR="008D7055" w:rsidRDefault="008D7055" w:rsidP="00494912">
            <w:pPr>
              <w:rPr>
                <w:rFonts w:asciiTheme="majorHAnsi" w:hAnsiTheme="majorHAnsi"/>
              </w:rPr>
            </w:pPr>
            <w:r>
              <w:rPr>
                <w:rFonts w:asciiTheme="majorHAnsi" w:hAnsiTheme="majorHAnsi"/>
              </w:rPr>
              <w:lastRenderedPageBreak/>
              <w:t>High Severity Error</w:t>
            </w:r>
          </w:p>
        </w:tc>
        <w:tc>
          <w:tcPr>
            <w:tcW w:w="4111" w:type="dxa"/>
            <w:tcBorders>
              <w:bottom w:val="single" w:sz="4" w:space="0" w:color="auto"/>
            </w:tcBorders>
          </w:tcPr>
          <w:p w:rsidR="008D7055" w:rsidRPr="00E1306D" w:rsidRDefault="008D7055" w:rsidP="00494912">
            <w:pPr>
              <w:rPr>
                <w:rFonts w:asciiTheme="majorHAnsi" w:hAnsiTheme="majorHAnsi"/>
              </w:rPr>
            </w:pPr>
            <w:r>
              <w:rPr>
                <w:rFonts w:asciiTheme="majorHAnsi" w:hAnsiTheme="majorHAnsi"/>
              </w:rPr>
              <w:t xml:space="preserve">0.5% of </w:t>
            </w:r>
            <w:r w:rsidR="001B6D9B">
              <w:rPr>
                <w:rFonts w:asciiTheme="majorHAnsi" w:hAnsiTheme="majorHAnsi"/>
              </w:rPr>
              <w:t xml:space="preserve">total </w:t>
            </w:r>
            <w:r w:rsidR="008C1B36">
              <w:rPr>
                <w:rFonts w:asciiTheme="majorHAnsi" w:hAnsiTheme="majorHAnsi"/>
              </w:rPr>
              <w:t xml:space="preserve">warranty cost </w:t>
            </w:r>
            <w:r>
              <w:rPr>
                <w:rFonts w:asciiTheme="majorHAnsi" w:hAnsiTheme="majorHAnsi"/>
              </w:rPr>
              <w:t>per day of delay</w:t>
            </w:r>
            <w:r w:rsidR="001B6D9B">
              <w:rPr>
                <w:rFonts w:asciiTheme="majorHAnsi" w:hAnsiTheme="majorHAnsi"/>
              </w:rPr>
              <w:t xml:space="preserve"> beyond 3 days</w:t>
            </w:r>
          </w:p>
        </w:tc>
      </w:tr>
      <w:tr w:rsidR="008D7055" w:rsidRPr="00E1306D" w:rsidTr="00494912">
        <w:trPr>
          <w:trHeight w:val="570"/>
        </w:trPr>
        <w:tc>
          <w:tcPr>
            <w:tcW w:w="757" w:type="dxa"/>
            <w:vAlign w:val="center"/>
          </w:tcPr>
          <w:p w:rsidR="008D7055" w:rsidRPr="00E1306D" w:rsidRDefault="008D7055" w:rsidP="000D02E5">
            <w:pPr>
              <w:jc w:val="center"/>
              <w:rPr>
                <w:rFonts w:asciiTheme="majorHAnsi" w:hAnsiTheme="majorHAnsi"/>
              </w:rPr>
            </w:pPr>
          </w:p>
        </w:tc>
        <w:tc>
          <w:tcPr>
            <w:tcW w:w="4880" w:type="dxa"/>
            <w:vAlign w:val="center"/>
          </w:tcPr>
          <w:p w:rsidR="008D7055" w:rsidRDefault="008D7055" w:rsidP="00011825">
            <w:pPr>
              <w:rPr>
                <w:rFonts w:asciiTheme="majorHAnsi" w:hAnsiTheme="majorHAnsi"/>
              </w:rPr>
            </w:pPr>
            <w:r>
              <w:rPr>
                <w:rFonts w:asciiTheme="majorHAnsi" w:hAnsiTheme="majorHAnsi"/>
              </w:rPr>
              <w:t>Errors which lead to un-usability of a feature of the application but with a valid workaround is considered medium severity</w:t>
            </w:r>
          </w:p>
          <w:p w:rsidR="008D7055" w:rsidRPr="00E1306D" w:rsidRDefault="008D7055" w:rsidP="00981ACF">
            <w:pPr>
              <w:rPr>
                <w:rFonts w:asciiTheme="majorHAnsi" w:hAnsiTheme="majorHAnsi"/>
              </w:rPr>
            </w:pPr>
            <w:r>
              <w:rPr>
                <w:rFonts w:asciiTheme="majorHAnsi" w:hAnsiTheme="majorHAnsi"/>
              </w:rPr>
              <w:t>SSP is expected to fix any medium severity error within 5 days of it being reported</w:t>
            </w:r>
          </w:p>
        </w:tc>
        <w:tc>
          <w:tcPr>
            <w:tcW w:w="1842" w:type="dxa"/>
            <w:tcBorders>
              <w:bottom w:val="single" w:sz="4" w:space="0" w:color="auto"/>
            </w:tcBorders>
          </w:tcPr>
          <w:p w:rsidR="008D7055" w:rsidRDefault="008D7055" w:rsidP="00494912">
            <w:pPr>
              <w:rPr>
                <w:rFonts w:asciiTheme="majorHAnsi" w:hAnsiTheme="majorHAnsi"/>
              </w:rPr>
            </w:pPr>
            <w:r>
              <w:rPr>
                <w:rFonts w:asciiTheme="majorHAnsi" w:hAnsiTheme="majorHAnsi"/>
              </w:rPr>
              <w:t>Medium Severity Error</w:t>
            </w:r>
          </w:p>
        </w:tc>
        <w:tc>
          <w:tcPr>
            <w:tcW w:w="4111" w:type="dxa"/>
            <w:tcBorders>
              <w:bottom w:val="single" w:sz="4" w:space="0" w:color="auto"/>
            </w:tcBorders>
          </w:tcPr>
          <w:p w:rsidR="008D7055" w:rsidRPr="00E1306D" w:rsidRDefault="008D7055" w:rsidP="00494912">
            <w:pPr>
              <w:rPr>
                <w:rFonts w:asciiTheme="majorHAnsi" w:hAnsiTheme="majorHAnsi"/>
              </w:rPr>
            </w:pPr>
            <w:r>
              <w:rPr>
                <w:rFonts w:asciiTheme="majorHAnsi" w:hAnsiTheme="majorHAnsi"/>
              </w:rPr>
              <w:t xml:space="preserve">0.25% of </w:t>
            </w:r>
            <w:r w:rsidR="001B6D9B">
              <w:rPr>
                <w:rFonts w:asciiTheme="majorHAnsi" w:hAnsiTheme="majorHAnsi"/>
              </w:rPr>
              <w:t xml:space="preserve">total </w:t>
            </w:r>
            <w:r>
              <w:rPr>
                <w:rFonts w:asciiTheme="majorHAnsi" w:hAnsiTheme="majorHAnsi"/>
              </w:rPr>
              <w:t>warranty cost per day of delay</w:t>
            </w:r>
            <w:r w:rsidR="001B6D9B">
              <w:rPr>
                <w:rFonts w:asciiTheme="majorHAnsi" w:hAnsiTheme="majorHAnsi"/>
              </w:rPr>
              <w:t xml:space="preserve"> beyond 5 days</w:t>
            </w:r>
          </w:p>
        </w:tc>
      </w:tr>
      <w:tr w:rsidR="008D7055" w:rsidRPr="00E1306D" w:rsidTr="00494912">
        <w:trPr>
          <w:trHeight w:val="570"/>
        </w:trPr>
        <w:tc>
          <w:tcPr>
            <w:tcW w:w="757" w:type="dxa"/>
            <w:vAlign w:val="center"/>
          </w:tcPr>
          <w:p w:rsidR="008D7055" w:rsidRPr="00E1306D" w:rsidRDefault="008D7055" w:rsidP="000D02E5">
            <w:pPr>
              <w:jc w:val="center"/>
              <w:rPr>
                <w:rFonts w:asciiTheme="majorHAnsi" w:hAnsiTheme="majorHAnsi"/>
              </w:rPr>
            </w:pPr>
          </w:p>
        </w:tc>
        <w:tc>
          <w:tcPr>
            <w:tcW w:w="4880" w:type="dxa"/>
            <w:vAlign w:val="center"/>
          </w:tcPr>
          <w:p w:rsidR="008D7055" w:rsidRDefault="008D7055" w:rsidP="000D02E5">
            <w:pPr>
              <w:rPr>
                <w:rFonts w:asciiTheme="majorHAnsi" w:hAnsiTheme="majorHAnsi"/>
              </w:rPr>
            </w:pPr>
            <w:r>
              <w:rPr>
                <w:rFonts w:asciiTheme="majorHAnsi" w:hAnsiTheme="majorHAnsi"/>
              </w:rPr>
              <w:t>All errors other than high or medium.</w:t>
            </w:r>
          </w:p>
          <w:p w:rsidR="008D7055" w:rsidRPr="00E1306D" w:rsidRDefault="008D7055" w:rsidP="00981ACF">
            <w:pPr>
              <w:rPr>
                <w:rFonts w:asciiTheme="majorHAnsi" w:hAnsiTheme="majorHAnsi"/>
              </w:rPr>
            </w:pPr>
            <w:r>
              <w:rPr>
                <w:rFonts w:asciiTheme="majorHAnsi" w:hAnsiTheme="majorHAnsi"/>
              </w:rPr>
              <w:t>SSP is expected to fix any low severity error within 10 days of it being reported</w:t>
            </w:r>
          </w:p>
        </w:tc>
        <w:tc>
          <w:tcPr>
            <w:tcW w:w="1842" w:type="dxa"/>
            <w:tcBorders>
              <w:bottom w:val="single" w:sz="4" w:space="0" w:color="auto"/>
            </w:tcBorders>
          </w:tcPr>
          <w:p w:rsidR="008D7055" w:rsidRDefault="008D7055" w:rsidP="00494912">
            <w:pPr>
              <w:rPr>
                <w:rFonts w:asciiTheme="majorHAnsi" w:hAnsiTheme="majorHAnsi"/>
              </w:rPr>
            </w:pPr>
            <w:r>
              <w:rPr>
                <w:rFonts w:asciiTheme="majorHAnsi" w:hAnsiTheme="majorHAnsi"/>
              </w:rPr>
              <w:t>Low Severity Error</w:t>
            </w:r>
          </w:p>
        </w:tc>
        <w:tc>
          <w:tcPr>
            <w:tcW w:w="4111" w:type="dxa"/>
            <w:tcBorders>
              <w:bottom w:val="single" w:sz="4" w:space="0" w:color="auto"/>
            </w:tcBorders>
          </w:tcPr>
          <w:p w:rsidR="008D7055" w:rsidRPr="00E1306D" w:rsidRDefault="008D7055" w:rsidP="00494912">
            <w:pPr>
              <w:rPr>
                <w:rFonts w:asciiTheme="majorHAnsi" w:hAnsiTheme="majorHAnsi"/>
              </w:rPr>
            </w:pPr>
            <w:r>
              <w:rPr>
                <w:rFonts w:asciiTheme="majorHAnsi" w:hAnsiTheme="majorHAnsi"/>
              </w:rPr>
              <w:t xml:space="preserve">0.25% of </w:t>
            </w:r>
            <w:r w:rsidR="001B6D9B">
              <w:rPr>
                <w:rFonts w:asciiTheme="majorHAnsi" w:hAnsiTheme="majorHAnsi"/>
              </w:rPr>
              <w:t xml:space="preserve">total </w:t>
            </w:r>
            <w:r>
              <w:rPr>
                <w:rFonts w:asciiTheme="majorHAnsi" w:hAnsiTheme="majorHAnsi"/>
              </w:rPr>
              <w:t>warranty cost per day of delay</w:t>
            </w:r>
            <w:r w:rsidR="003C2ADC">
              <w:rPr>
                <w:rFonts w:asciiTheme="majorHAnsi" w:hAnsiTheme="majorHAnsi"/>
              </w:rPr>
              <w:t xml:space="preserve"> beyond 10 days</w:t>
            </w:r>
          </w:p>
        </w:tc>
      </w:tr>
    </w:tbl>
    <w:p w:rsidR="008E3A4A" w:rsidRDefault="00011825" w:rsidP="00011825">
      <w:pPr>
        <w:pStyle w:val="ListParagraph"/>
        <w:widowControl w:val="0"/>
        <w:numPr>
          <w:ilvl w:val="0"/>
          <w:numId w:val="19"/>
        </w:numPr>
        <w:autoSpaceDE w:val="0"/>
        <w:autoSpaceDN w:val="0"/>
        <w:adjustRightInd w:val="0"/>
        <w:ind w:right="-15"/>
        <w:rPr>
          <w:b/>
          <w:bCs/>
          <w:sz w:val="23"/>
          <w:szCs w:val="23"/>
        </w:rPr>
      </w:pPr>
      <w:r>
        <w:rPr>
          <w:b/>
          <w:bCs/>
          <w:sz w:val="23"/>
          <w:szCs w:val="23"/>
        </w:rPr>
        <w:t>Error classification as High/ Medium/ Low is done by UIDAI</w:t>
      </w:r>
    </w:p>
    <w:p w:rsidR="00C3002D" w:rsidRPr="00011825" w:rsidRDefault="00981ACF" w:rsidP="00011825">
      <w:pPr>
        <w:pStyle w:val="ListParagraph"/>
        <w:widowControl w:val="0"/>
        <w:numPr>
          <w:ilvl w:val="0"/>
          <w:numId w:val="19"/>
        </w:numPr>
        <w:autoSpaceDE w:val="0"/>
        <w:autoSpaceDN w:val="0"/>
        <w:adjustRightInd w:val="0"/>
        <w:ind w:right="-15"/>
        <w:rPr>
          <w:b/>
          <w:bCs/>
          <w:sz w:val="23"/>
          <w:szCs w:val="23"/>
        </w:rPr>
      </w:pPr>
      <w:r>
        <w:rPr>
          <w:b/>
          <w:bCs/>
          <w:sz w:val="23"/>
          <w:szCs w:val="23"/>
        </w:rPr>
        <w:t xml:space="preserve">Error </w:t>
      </w:r>
      <w:r w:rsidR="00AD3741">
        <w:rPr>
          <w:b/>
          <w:bCs/>
          <w:sz w:val="23"/>
          <w:szCs w:val="23"/>
        </w:rPr>
        <w:t xml:space="preserve">will be </w:t>
      </w:r>
      <w:r>
        <w:rPr>
          <w:b/>
          <w:bCs/>
          <w:sz w:val="23"/>
          <w:szCs w:val="23"/>
        </w:rPr>
        <w:t xml:space="preserve">reported </w:t>
      </w:r>
      <w:r w:rsidR="00AD3741">
        <w:rPr>
          <w:b/>
          <w:bCs/>
          <w:sz w:val="23"/>
          <w:szCs w:val="23"/>
        </w:rPr>
        <w:t>either by</w:t>
      </w:r>
      <w:r>
        <w:rPr>
          <w:b/>
          <w:bCs/>
          <w:sz w:val="23"/>
          <w:szCs w:val="23"/>
        </w:rPr>
        <w:t xml:space="preserve"> </w:t>
      </w:r>
      <w:proofErr w:type="spellStart"/>
      <w:r>
        <w:rPr>
          <w:b/>
          <w:bCs/>
          <w:sz w:val="23"/>
          <w:szCs w:val="23"/>
        </w:rPr>
        <w:t>eMail</w:t>
      </w:r>
      <w:proofErr w:type="spellEnd"/>
      <w:r w:rsidR="001B14F0">
        <w:rPr>
          <w:b/>
          <w:bCs/>
          <w:sz w:val="23"/>
          <w:szCs w:val="23"/>
        </w:rPr>
        <w:t xml:space="preserve"> or </w:t>
      </w:r>
      <w:r w:rsidR="00AD3741">
        <w:rPr>
          <w:b/>
          <w:bCs/>
          <w:sz w:val="23"/>
          <w:szCs w:val="23"/>
        </w:rPr>
        <w:t>Fax</w:t>
      </w:r>
    </w:p>
    <w:p w:rsidR="003F79CC" w:rsidRDefault="003F79CC">
      <w:pPr>
        <w:rPr>
          <w:b/>
          <w:bCs/>
          <w:sz w:val="23"/>
          <w:szCs w:val="23"/>
        </w:rPr>
      </w:pPr>
      <w:r>
        <w:rPr>
          <w:b/>
          <w:bCs/>
          <w:sz w:val="23"/>
          <w:szCs w:val="23"/>
        </w:rPr>
        <w:br w:type="page"/>
      </w:r>
    </w:p>
    <w:p w:rsidR="003F79CC" w:rsidRDefault="003F79CC" w:rsidP="00D43E49">
      <w:pPr>
        <w:widowControl w:val="0"/>
        <w:autoSpaceDE w:val="0"/>
        <w:autoSpaceDN w:val="0"/>
        <w:adjustRightInd w:val="0"/>
        <w:spacing w:after="0"/>
        <w:ind w:right="-15"/>
        <w:rPr>
          <w:b/>
          <w:bCs/>
          <w:sz w:val="23"/>
          <w:szCs w:val="23"/>
        </w:rPr>
      </w:pPr>
      <w:r>
        <w:rPr>
          <w:b/>
          <w:bCs/>
          <w:sz w:val="23"/>
          <w:szCs w:val="23"/>
        </w:rPr>
        <w:lastRenderedPageBreak/>
        <w:t>Annexure B</w:t>
      </w:r>
    </w:p>
    <w:p w:rsidR="00A0302E" w:rsidRDefault="00A0302E" w:rsidP="003D5CAB">
      <w:pPr>
        <w:spacing w:before="100" w:beforeAutospacing="1" w:after="100" w:afterAutospacing="1" w:line="360" w:lineRule="auto"/>
      </w:pPr>
      <w:r>
        <w:t>CIDR software at UIDAI is developed around the technical architecture principles of openness, vendor neutrality, usage of open source and open standards and uses following technology stack:</w:t>
      </w:r>
    </w:p>
    <w:p w:rsidR="00A0302E" w:rsidRDefault="00A0302E" w:rsidP="003D5CAB">
      <w:pPr>
        <w:numPr>
          <w:ilvl w:val="0"/>
          <w:numId w:val="15"/>
        </w:numPr>
        <w:spacing w:before="100" w:beforeAutospacing="1" w:after="100" w:afterAutospacing="1" w:line="360" w:lineRule="auto"/>
      </w:pPr>
      <w:r>
        <w:t>Language - Java</w:t>
      </w:r>
    </w:p>
    <w:p w:rsidR="00A0302E" w:rsidRDefault="00A0302E" w:rsidP="003D5CAB">
      <w:pPr>
        <w:numPr>
          <w:ilvl w:val="0"/>
          <w:numId w:val="15"/>
        </w:numPr>
        <w:spacing w:before="100" w:beforeAutospacing="1" w:after="100" w:afterAutospacing="1" w:line="360" w:lineRule="auto"/>
      </w:pPr>
      <w:r>
        <w:t>Containers - Spring, Mule, Tomcat</w:t>
      </w:r>
    </w:p>
    <w:p w:rsidR="00A0302E" w:rsidRDefault="00A0302E" w:rsidP="003D5CAB">
      <w:pPr>
        <w:numPr>
          <w:ilvl w:val="0"/>
          <w:numId w:val="15"/>
        </w:numPr>
        <w:spacing w:before="100" w:beforeAutospacing="1" w:after="100" w:afterAutospacing="1" w:line="360" w:lineRule="auto"/>
      </w:pPr>
      <w:r>
        <w:t xml:space="preserve">Messaging - </w:t>
      </w:r>
      <w:proofErr w:type="spellStart"/>
      <w:r>
        <w:t>RabbitMQ</w:t>
      </w:r>
      <w:proofErr w:type="spellEnd"/>
      <w:r>
        <w:t xml:space="preserve"> (AMQP based)</w:t>
      </w:r>
    </w:p>
    <w:p w:rsidR="00A0302E" w:rsidRDefault="00A0302E" w:rsidP="003D5CAB">
      <w:pPr>
        <w:numPr>
          <w:ilvl w:val="0"/>
          <w:numId w:val="15"/>
        </w:numPr>
        <w:spacing w:before="100" w:beforeAutospacing="1" w:after="100" w:afterAutospacing="1" w:line="360" w:lineRule="auto"/>
      </w:pPr>
      <w:r>
        <w:t xml:space="preserve">Persistence - MySQL, HDFS, </w:t>
      </w:r>
      <w:proofErr w:type="spellStart"/>
      <w:r>
        <w:t>HBase</w:t>
      </w:r>
      <w:proofErr w:type="spellEnd"/>
      <w:r>
        <w:t xml:space="preserve">, </w:t>
      </w:r>
      <w:proofErr w:type="spellStart"/>
      <w:r>
        <w:t>MongoDB</w:t>
      </w:r>
      <w:proofErr w:type="spellEnd"/>
    </w:p>
    <w:p w:rsidR="00A0302E" w:rsidRDefault="00A0302E" w:rsidP="003D5CAB">
      <w:pPr>
        <w:numPr>
          <w:ilvl w:val="0"/>
          <w:numId w:val="15"/>
        </w:numPr>
        <w:spacing w:before="100" w:beforeAutospacing="1" w:after="100" w:afterAutospacing="1" w:line="360" w:lineRule="auto"/>
      </w:pPr>
      <w:r>
        <w:t>Rule Engine, Workflow - Drools stack</w:t>
      </w:r>
    </w:p>
    <w:p w:rsidR="00A0302E" w:rsidRDefault="00A0302E" w:rsidP="003D5CAB">
      <w:pPr>
        <w:numPr>
          <w:ilvl w:val="0"/>
          <w:numId w:val="15"/>
        </w:numPr>
        <w:spacing w:before="100" w:beforeAutospacing="1" w:after="100" w:afterAutospacing="1" w:line="360" w:lineRule="auto"/>
      </w:pPr>
      <w:r>
        <w:t>Web application - Servlets, Spring</w:t>
      </w:r>
    </w:p>
    <w:p w:rsidR="00A0302E" w:rsidRDefault="00A0302E" w:rsidP="003D5CAB">
      <w:pPr>
        <w:numPr>
          <w:ilvl w:val="0"/>
          <w:numId w:val="15"/>
        </w:numPr>
        <w:spacing w:before="100" w:beforeAutospacing="1" w:after="100" w:afterAutospacing="1" w:line="360" w:lineRule="auto"/>
      </w:pPr>
      <w:r>
        <w:t xml:space="preserve">Distributed Caching - </w:t>
      </w:r>
      <w:proofErr w:type="spellStart"/>
      <w:r>
        <w:t>Voldemort</w:t>
      </w:r>
      <w:proofErr w:type="spellEnd"/>
    </w:p>
    <w:p w:rsidR="00A0302E" w:rsidRDefault="00A0302E" w:rsidP="003D5CAB">
      <w:pPr>
        <w:numPr>
          <w:ilvl w:val="0"/>
          <w:numId w:val="15"/>
        </w:numPr>
        <w:spacing w:before="100" w:beforeAutospacing="1" w:after="100" w:afterAutospacing="1" w:line="360" w:lineRule="auto"/>
      </w:pPr>
      <w:r>
        <w:t xml:space="preserve">BI, Mining, Analytics, Reporting - </w:t>
      </w:r>
      <w:proofErr w:type="spellStart"/>
      <w:r>
        <w:t>Hive+Pig</w:t>
      </w:r>
      <w:proofErr w:type="spellEnd"/>
      <w:r>
        <w:t xml:space="preserve"> (for atomic data warehouse), R/</w:t>
      </w:r>
      <w:proofErr w:type="spellStart"/>
      <w:r>
        <w:t>Weka</w:t>
      </w:r>
      <w:proofErr w:type="spellEnd"/>
      <w:r>
        <w:t xml:space="preserve"> (mining), </w:t>
      </w:r>
      <w:proofErr w:type="spellStart"/>
      <w:r>
        <w:t>Pentaho+MySQL</w:t>
      </w:r>
      <w:proofErr w:type="spellEnd"/>
      <w:r>
        <w:t xml:space="preserve"> (for reporting and analytics), </w:t>
      </w:r>
      <w:proofErr w:type="spellStart"/>
      <w:r>
        <w:t>FusionCharts</w:t>
      </w:r>
      <w:proofErr w:type="spellEnd"/>
      <w:r>
        <w:t xml:space="preserve"> (for portal charting)</w:t>
      </w:r>
    </w:p>
    <w:p w:rsidR="00A0302E" w:rsidRDefault="00A0302E" w:rsidP="003D5CAB">
      <w:pPr>
        <w:numPr>
          <w:ilvl w:val="0"/>
          <w:numId w:val="15"/>
        </w:numPr>
        <w:spacing w:before="100" w:beforeAutospacing="1" w:after="100" w:afterAutospacing="1" w:line="360" w:lineRule="auto"/>
      </w:pPr>
      <w:r>
        <w:t xml:space="preserve">Multilingual Support - embedded libraries from </w:t>
      </w:r>
      <w:proofErr w:type="spellStart"/>
      <w:r>
        <w:t>Quillpad</w:t>
      </w:r>
      <w:proofErr w:type="spellEnd"/>
      <w:r>
        <w:t xml:space="preserve"> and CDAC (for Urdu)</w:t>
      </w:r>
    </w:p>
    <w:p w:rsidR="00A31258" w:rsidRDefault="00A31258">
      <w:pPr>
        <w:rPr>
          <w:b/>
          <w:bCs/>
          <w:sz w:val="23"/>
          <w:szCs w:val="23"/>
        </w:rPr>
      </w:pPr>
      <w:r>
        <w:rPr>
          <w:b/>
          <w:bCs/>
          <w:sz w:val="23"/>
          <w:szCs w:val="23"/>
        </w:rPr>
        <w:br w:type="page"/>
      </w:r>
    </w:p>
    <w:p w:rsidR="00C4148A" w:rsidRDefault="00C4148A">
      <w:pPr>
        <w:rPr>
          <w:b/>
          <w:bCs/>
          <w:sz w:val="23"/>
          <w:szCs w:val="23"/>
        </w:rPr>
      </w:pPr>
      <w:r>
        <w:rPr>
          <w:b/>
          <w:bCs/>
          <w:sz w:val="23"/>
          <w:szCs w:val="23"/>
        </w:rPr>
        <w:lastRenderedPageBreak/>
        <w:t>Annexure C</w:t>
      </w:r>
    </w:p>
    <w:p w:rsidR="00E77130" w:rsidRPr="00C569B5" w:rsidRDefault="00DE2B2D" w:rsidP="003D5CAB">
      <w:pPr>
        <w:spacing w:line="360" w:lineRule="auto"/>
        <w:ind w:left="360"/>
        <w:rPr>
          <w:rFonts w:cstheme="minorHAnsi"/>
        </w:rPr>
      </w:pPr>
      <w:r w:rsidRPr="00C569B5">
        <w:rPr>
          <w:rFonts w:cstheme="minorHAnsi"/>
        </w:rPr>
        <w:t>Nonfunctional</w:t>
      </w:r>
      <w:r w:rsidR="00E77130" w:rsidRPr="00C569B5">
        <w:rPr>
          <w:rFonts w:cstheme="minorHAnsi"/>
        </w:rPr>
        <w:t xml:space="preserve"> requirements would be finalized as part of the FRS. Indicative </w:t>
      </w:r>
      <w:r w:rsidRPr="00C569B5">
        <w:rPr>
          <w:rFonts w:cstheme="minorHAnsi"/>
        </w:rPr>
        <w:t>nonfunctional</w:t>
      </w:r>
      <w:r w:rsidR="00E77130" w:rsidRPr="00C569B5">
        <w:rPr>
          <w:rFonts w:cstheme="minorHAnsi"/>
        </w:rPr>
        <w:t xml:space="preserve"> requirements are as below:</w:t>
      </w:r>
    </w:p>
    <w:p w:rsidR="00224431" w:rsidRPr="00C569B5" w:rsidRDefault="00224431" w:rsidP="003D5CAB">
      <w:pPr>
        <w:pStyle w:val="ListParagraph"/>
        <w:numPr>
          <w:ilvl w:val="0"/>
          <w:numId w:val="17"/>
        </w:numPr>
        <w:spacing w:line="360" w:lineRule="auto"/>
        <w:rPr>
          <w:rFonts w:asciiTheme="minorHAnsi" w:hAnsiTheme="minorHAnsi" w:cstheme="minorHAnsi"/>
          <w:szCs w:val="22"/>
        </w:rPr>
      </w:pPr>
      <w:r w:rsidRPr="00C569B5">
        <w:rPr>
          <w:rFonts w:asciiTheme="minorHAnsi" w:hAnsiTheme="minorHAnsi" w:cstheme="minorHAnsi"/>
          <w:szCs w:val="22"/>
        </w:rPr>
        <w:t xml:space="preserve">Availability of application: </w:t>
      </w:r>
      <w:r w:rsidR="00DE2B2D" w:rsidRPr="00C569B5">
        <w:rPr>
          <w:rFonts w:asciiTheme="minorHAnsi" w:hAnsiTheme="minorHAnsi" w:cstheme="minorHAnsi"/>
          <w:szCs w:val="22"/>
        </w:rPr>
        <w:t>During Pilot-</w:t>
      </w:r>
      <w:r w:rsidRPr="00C569B5">
        <w:rPr>
          <w:rFonts w:asciiTheme="minorHAnsi" w:hAnsiTheme="minorHAnsi" w:cstheme="minorHAnsi"/>
          <w:szCs w:val="22"/>
        </w:rPr>
        <w:t xml:space="preserve"> 99% uptime (24 X7 ) except scheduled downtime</w:t>
      </w:r>
    </w:p>
    <w:p w:rsidR="00224431" w:rsidRPr="00C569B5" w:rsidRDefault="00224431" w:rsidP="003D5CAB">
      <w:pPr>
        <w:pStyle w:val="ListParagraph"/>
        <w:numPr>
          <w:ilvl w:val="0"/>
          <w:numId w:val="17"/>
        </w:numPr>
        <w:spacing w:line="360" w:lineRule="auto"/>
        <w:rPr>
          <w:rFonts w:asciiTheme="minorHAnsi" w:hAnsiTheme="minorHAnsi" w:cstheme="minorHAnsi"/>
          <w:szCs w:val="22"/>
        </w:rPr>
      </w:pPr>
      <w:r w:rsidRPr="00C569B5">
        <w:rPr>
          <w:rFonts w:asciiTheme="minorHAnsi" w:hAnsiTheme="minorHAnsi" w:cstheme="minorHAnsi"/>
          <w:szCs w:val="22"/>
        </w:rPr>
        <w:t xml:space="preserve">Response Time: </w:t>
      </w:r>
    </w:p>
    <w:p w:rsidR="00224431" w:rsidRPr="00C569B5" w:rsidRDefault="00224431" w:rsidP="003D5CAB">
      <w:pPr>
        <w:pStyle w:val="ListParagraph"/>
        <w:numPr>
          <w:ilvl w:val="1"/>
          <w:numId w:val="17"/>
        </w:numPr>
        <w:spacing w:line="360" w:lineRule="auto"/>
        <w:rPr>
          <w:rFonts w:asciiTheme="minorHAnsi" w:hAnsiTheme="minorHAnsi" w:cstheme="minorHAnsi"/>
          <w:szCs w:val="22"/>
        </w:rPr>
      </w:pPr>
      <w:r w:rsidRPr="00C569B5">
        <w:rPr>
          <w:rFonts w:asciiTheme="minorHAnsi" w:hAnsiTheme="minorHAnsi" w:cstheme="minorHAnsi"/>
          <w:szCs w:val="22"/>
        </w:rPr>
        <w:t>&lt; 2 seconds at normal load and &lt;3 seconds at peak load for save and other operations other than search.</w:t>
      </w:r>
    </w:p>
    <w:p w:rsidR="00224431" w:rsidRPr="00C569B5" w:rsidRDefault="00224431" w:rsidP="003D5CAB">
      <w:pPr>
        <w:pStyle w:val="ListParagraph"/>
        <w:numPr>
          <w:ilvl w:val="1"/>
          <w:numId w:val="17"/>
        </w:numPr>
        <w:adjustRightInd w:val="0"/>
        <w:spacing w:line="360" w:lineRule="auto"/>
        <w:rPr>
          <w:rFonts w:asciiTheme="minorHAnsi" w:hAnsiTheme="minorHAnsi" w:cstheme="minorHAnsi"/>
          <w:szCs w:val="22"/>
        </w:rPr>
      </w:pPr>
      <w:r w:rsidRPr="00C569B5">
        <w:rPr>
          <w:rFonts w:asciiTheme="minorHAnsi" w:hAnsiTheme="minorHAnsi" w:cstheme="minorHAnsi"/>
          <w:szCs w:val="22"/>
        </w:rPr>
        <w:t>The System must be able to pe</w:t>
      </w:r>
      <w:r w:rsidR="00AC0323" w:rsidRPr="00C569B5">
        <w:rPr>
          <w:rFonts w:asciiTheme="minorHAnsi" w:hAnsiTheme="minorHAnsi" w:cstheme="minorHAnsi"/>
          <w:szCs w:val="22"/>
        </w:rPr>
        <w:t>rform a simple search within 1-2</w:t>
      </w:r>
      <w:r w:rsidRPr="00C569B5">
        <w:rPr>
          <w:rFonts w:asciiTheme="minorHAnsi" w:hAnsiTheme="minorHAnsi" w:cstheme="minorHAnsi"/>
          <w:szCs w:val="22"/>
        </w:rPr>
        <w:t xml:space="preserve"> seconds and an advanced search (mu</w:t>
      </w:r>
      <w:r w:rsidR="00AC0323" w:rsidRPr="00C569B5">
        <w:rPr>
          <w:rFonts w:asciiTheme="minorHAnsi" w:hAnsiTheme="minorHAnsi" w:cstheme="minorHAnsi"/>
          <w:szCs w:val="22"/>
        </w:rPr>
        <w:t>ltiple search criteria) within 3-5</w:t>
      </w:r>
      <w:r w:rsidRPr="00C569B5">
        <w:rPr>
          <w:rFonts w:asciiTheme="minorHAnsi" w:hAnsiTheme="minorHAnsi" w:cstheme="minorHAnsi"/>
          <w:szCs w:val="22"/>
        </w:rPr>
        <w:t xml:space="preserve"> seconds regardless of the storage capacity or number of records in the system. </w:t>
      </w:r>
    </w:p>
    <w:p w:rsidR="00224431" w:rsidRPr="00C569B5" w:rsidRDefault="00224431" w:rsidP="003D5CAB">
      <w:pPr>
        <w:pStyle w:val="ListParagraph"/>
        <w:numPr>
          <w:ilvl w:val="0"/>
          <w:numId w:val="17"/>
        </w:numPr>
        <w:adjustRightInd w:val="0"/>
        <w:spacing w:line="360" w:lineRule="auto"/>
        <w:rPr>
          <w:rFonts w:asciiTheme="minorHAnsi" w:hAnsiTheme="minorHAnsi" w:cstheme="minorHAnsi"/>
          <w:szCs w:val="22"/>
        </w:rPr>
      </w:pPr>
      <w:r w:rsidRPr="00C569B5">
        <w:rPr>
          <w:rFonts w:asciiTheme="minorHAnsi" w:hAnsiTheme="minorHAnsi" w:cstheme="minorHAnsi"/>
          <w:szCs w:val="22"/>
        </w:rPr>
        <w:t xml:space="preserve"> Peak Load:  100-1000 </w:t>
      </w:r>
      <w:r w:rsidR="00BA5D3E" w:rsidRPr="00C569B5">
        <w:rPr>
          <w:rFonts w:asciiTheme="minorHAnsi" w:hAnsiTheme="minorHAnsi" w:cstheme="minorHAnsi"/>
          <w:szCs w:val="22"/>
        </w:rPr>
        <w:t>users and</w:t>
      </w:r>
      <w:r w:rsidRPr="00C569B5">
        <w:rPr>
          <w:rFonts w:asciiTheme="minorHAnsi" w:hAnsiTheme="minorHAnsi" w:cstheme="minorHAnsi"/>
          <w:szCs w:val="22"/>
        </w:rPr>
        <w:t xml:space="preserve"> about 100 </w:t>
      </w:r>
      <w:r w:rsidR="00DE2B2D" w:rsidRPr="00C569B5">
        <w:rPr>
          <w:rFonts w:asciiTheme="minorHAnsi" w:hAnsiTheme="minorHAnsi" w:cstheme="minorHAnsi"/>
          <w:szCs w:val="22"/>
        </w:rPr>
        <w:t xml:space="preserve">concurrent </w:t>
      </w:r>
      <w:r w:rsidRPr="00C569B5">
        <w:rPr>
          <w:rFonts w:asciiTheme="minorHAnsi" w:hAnsiTheme="minorHAnsi" w:cstheme="minorHAnsi"/>
          <w:szCs w:val="22"/>
        </w:rPr>
        <w:t>users.</w:t>
      </w:r>
    </w:p>
    <w:p w:rsidR="00224431" w:rsidRPr="00C569B5" w:rsidRDefault="00224431" w:rsidP="003D5CAB">
      <w:pPr>
        <w:pStyle w:val="ListParagraph"/>
        <w:numPr>
          <w:ilvl w:val="0"/>
          <w:numId w:val="17"/>
        </w:numPr>
        <w:adjustRightInd w:val="0"/>
        <w:spacing w:line="360" w:lineRule="auto"/>
        <w:rPr>
          <w:rFonts w:asciiTheme="minorHAnsi" w:hAnsiTheme="minorHAnsi" w:cstheme="minorHAnsi"/>
          <w:szCs w:val="22"/>
        </w:rPr>
      </w:pPr>
      <w:r w:rsidRPr="00C569B5">
        <w:rPr>
          <w:rFonts w:asciiTheme="minorHAnsi" w:hAnsiTheme="minorHAnsi" w:cstheme="minorHAnsi"/>
          <w:szCs w:val="22"/>
        </w:rPr>
        <w:t xml:space="preserve"> For </w:t>
      </w:r>
      <w:r w:rsidR="00BA5D3E" w:rsidRPr="00C569B5">
        <w:rPr>
          <w:rFonts w:asciiTheme="minorHAnsi" w:hAnsiTheme="minorHAnsi" w:cstheme="minorHAnsi"/>
          <w:szCs w:val="22"/>
        </w:rPr>
        <w:t>web service:</w:t>
      </w:r>
      <w:r w:rsidRPr="00C569B5">
        <w:rPr>
          <w:rFonts w:asciiTheme="minorHAnsi" w:hAnsiTheme="minorHAnsi" w:cstheme="minorHAnsi"/>
          <w:szCs w:val="22"/>
        </w:rPr>
        <w:t xml:space="preserve"> It should support 1000 concurrent users with response time as mentioned for search.</w:t>
      </w:r>
    </w:p>
    <w:p w:rsidR="00FA6C50" w:rsidRPr="00C569B5" w:rsidRDefault="00FA6C50" w:rsidP="003D5CAB">
      <w:pPr>
        <w:pStyle w:val="ListParagraph"/>
        <w:numPr>
          <w:ilvl w:val="0"/>
          <w:numId w:val="17"/>
        </w:numPr>
        <w:adjustRightInd w:val="0"/>
        <w:spacing w:line="360" w:lineRule="auto"/>
        <w:rPr>
          <w:rFonts w:asciiTheme="minorHAnsi" w:hAnsiTheme="minorHAnsi" w:cstheme="minorHAnsi"/>
          <w:szCs w:val="22"/>
        </w:rPr>
      </w:pPr>
      <w:r w:rsidRPr="00C569B5">
        <w:rPr>
          <w:rFonts w:asciiTheme="minorHAnsi" w:hAnsiTheme="minorHAnsi" w:cstheme="minorHAnsi"/>
          <w:szCs w:val="22"/>
        </w:rPr>
        <w:t>Throughput</w:t>
      </w:r>
      <w:r w:rsidR="002A692F" w:rsidRPr="00C569B5">
        <w:rPr>
          <w:rFonts w:asciiTheme="minorHAnsi" w:hAnsiTheme="minorHAnsi" w:cstheme="minorHAnsi"/>
          <w:szCs w:val="22"/>
        </w:rPr>
        <w:t xml:space="preserve"> Requirement</w:t>
      </w:r>
      <w:r w:rsidRPr="00C569B5">
        <w:rPr>
          <w:rFonts w:asciiTheme="minorHAnsi" w:hAnsiTheme="minorHAnsi" w:cstheme="minorHAnsi"/>
          <w:szCs w:val="22"/>
        </w:rPr>
        <w:t>:</w:t>
      </w:r>
    </w:p>
    <w:p w:rsidR="00FA6C50" w:rsidRPr="00C569B5" w:rsidRDefault="00FA6C50" w:rsidP="003D5CAB">
      <w:pPr>
        <w:pStyle w:val="ListParagraph"/>
        <w:numPr>
          <w:ilvl w:val="1"/>
          <w:numId w:val="17"/>
        </w:numPr>
        <w:adjustRightInd w:val="0"/>
        <w:spacing w:line="360" w:lineRule="auto"/>
        <w:rPr>
          <w:rFonts w:asciiTheme="minorHAnsi" w:hAnsiTheme="minorHAnsi" w:cstheme="minorHAnsi"/>
          <w:szCs w:val="22"/>
        </w:rPr>
      </w:pPr>
      <w:r w:rsidRPr="00C569B5">
        <w:rPr>
          <w:rFonts w:asciiTheme="minorHAnsi" w:hAnsiTheme="minorHAnsi" w:cstheme="minorHAnsi"/>
          <w:szCs w:val="22"/>
        </w:rPr>
        <w:t xml:space="preserve">Application should be able </w:t>
      </w:r>
      <w:r w:rsidR="00B83518" w:rsidRPr="00C569B5">
        <w:rPr>
          <w:rFonts w:asciiTheme="minorHAnsi" w:hAnsiTheme="minorHAnsi" w:cstheme="minorHAnsi"/>
          <w:szCs w:val="22"/>
        </w:rPr>
        <w:t>to handle</w:t>
      </w:r>
      <w:r w:rsidR="00A6310C" w:rsidRPr="00C569B5">
        <w:rPr>
          <w:rFonts w:asciiTheme="minorHAnsi" w:hAnsiTheme="minorHAnsi" w:cstheme="minorHAnsi"/>
          <w:szCs w:val="22"/>
        </w:rPr>
        <w:t xml:space="preserve"> 1 million records</w:t>
      </w:r>
      <w:r w:rsidRPr="00C569B5">
        <w:rPr>
          <w:rFonts w:asciiTheme="minorHAnsi" w:hAnsiTheme="minorHAnsi" w:cstheme="minorHAnsi"/>
          <w:szCs w:val="22"/>
        </w:rPr>
        <w:t xml:space="preserve"> inserts/updates</w:t>
      </w:r>
      <w:r w:rsidR="00A6310C" w:rsidRPr="00C569B5">
        <w:rPr>
          <w:rFonts w:asciiTheme="minorHAnsi" w:hAnsiTheme="minorHAnsi" w:cstheme="minorHAnsi"/>
          <w:szCs w:val="22"/>
        </w:rPr>
        <w:t xml:space="preserve"> from EID-UID mapping </w:t>
      </w:r>
      <w:r w:rsidR="00B83518" w:rsidRPr="00C569B5">
        <w:rPr>
          <w:rFonts w:asciiTheme="minorHAnsi" w:hAnsiTheme="minorHAnsi" w:cstheme="minorHAnsi"/>
          <w:szCs w:val="22"/>
        </w:rPr>
        <w:t>file per</w:t>
      </w:r>
      <w:r w:rsidRPr="00C569B5">
        <w:rPr>
          <w:rFonts w:asciiTheme="minorHAnsi" w:hAnsiTheme="minorHAnsi" w:cstheme="minorHAnsi"/>
          <w:szCs w:val="22"/>
        </w:rPr>
        <w:t xml:space="preserve"> day (20 </w:t>
      </w:r>
      <w:proofErr w:type="spellStart"/>
      <w:r w:rsidRPr="00C569B5">
        <w:rPr>
          <w:rFonts w:asciiTheme="minorHAnsi" w:hAnsiTheme="minorHAnsi" w:cstheme="minorHAnsi"/>
          <w:szCs w:val="22"/>
        </w:rPr>
        <w:t>hrs</w:t>
      </w:r>
      <w:proofErr w:type="spellEnd"/>
      <w:r w:rsidRPr="00C569B5">
        <w:rPr>
          <w:rFonts w:asciiTheme="minorHAnsi" w:hAnsiTheme="minorHAnsi" w:cstheme="minorHAnsi"/>
          <w:szCs w:val="22"/>
        </w:rPr>
        <w:t xml:space="preserve">). </w:t>
      </w:r>
    </w:p>
    <w:p w:rsidR="00E46B97" w:rsidRPr="00C569B5" w:rsidRDefault="00E46B97" w:rsidP="003D5CAB">
      <w:pPr>
        <w:pStyle w:val="ListParagraph"/>
        <w:numPr>
          <w:ilvl w:val="0"/>
          <w:numId w:val="17"/>
        </w:numPr>
        <w:adjustRightInd w:val="0"/>
        <w:spacing w:line="360" w:lineRule="auto"/>
        <w:rPr>
          <w:rFonts w:asciiTheme="minorHAnsi" w:hAnsiTheme="minorHAnsi" w:cstheme="minorHAnsi"/>
          <w:szCs w:val="22"/>
        </w:rPr>
      </w:pPr>
      <w:r w:rsidRPr="00C569B5">
        <w:rPr>
          <w:rFonts w:asciiTheme="minorHAnsi" w:hAnsiTheme="minorHAnsi" w:cstheme="minorHAnsi"/>
          <w:szCs w:val="22"/>
        </w:rPr>
        <w:t>CPU utilization: Average daily CPU utilization levels during business hours should be less than 70%. Excluding EOD processing time (Batch processing).</w:t>
      </w:r>
    </w:p>
    <w:p w:rsidR="00E46B97" w:rsidRDefault="00E46B97" w:rsidP="003D5CAB">
      <w:pPr>
        <w:pStyle w:val="ListParagraph"/>
        <w:numPr>
          <w:ilvl w:val="0"/>
          <w:numId w:val="17"/>
        </w:numPr>
        <w:adjustRightInd w:val="0"/>
        <w:spacing w:line="360" w:lineRule="auto"/>
        <w:rPr>
          <w:rFonts w:asciiTheme="minorHAnsi" w:hAnsiTheme="minorHAnsi" w:cstheme="minorHAnsi"/>
          <w:szCs w:val="22"/>
        </w:rPr>
      </w:pPr>
      <w:r w:rsidRPr="00C569B5">
        <w:rPr>
          <w:rFonts w:asciiTheme="minorHAnsi" w:hAnsiTheme="minorHAnsi" w:cstheme="minorHAnsi"/>
          <w:szCs w:val="22"/>
        </w:rPr>
        <w:t>Memory utilization: Average daily memory utilization levels during business hours should be less than 70%. Excluding EOD processing time (Batch processing).</w:t>
      </w:r>
    </w:p>
    <w:p w:rsidR="009D14F9" w:rsidRPr="00C569B5" w:rsidRDefault="009D14F9" w:rsidP="009D14F9">
      <w:pPr>
        <w:pStyle w:val="ListParagraph"/>
        <w:numPr>
          <w:ilvl w:val="0"/>
          <w:numId w:val="17"/>
        </w:numPr>
        <w:adjustRightInd w:val="0"/>
        <w:spacing w:line="360" w:lineRule="auto"/>
        <w:rPr>
          <w:rFonts w:asciiTheme="minorHAnsi" w:hAnsiTheme="minorHAnsi" w:cstheme="minorHAnsi"/>
          <w:szCs w:val="22"/>
        </w:rPr>
      </w:pPr>
      <w:r>
        <w:rPr>
          <w:rFonts w:asciiTheme="minorHAnsi" w:hAnsiTheme="minorHAnsi" w:cstheme="minorHAnsi"/>
          <w:szCs w:val="22"/>
        </w:rPr>
        <w:t xml:space="preserve">Application </w:t>
      </w:r>
      <w:r w:rsidRPr="009D14F9">
        <w:rPr>
          <w:rFonts w:asciiTheme="minorHAnsi" w:hAnsiTheme="minorHAnsi" w:cstheme="minorHAnsi"/>
          <w:szCs w:val="22"/>
        </w:rPr>
        <w:t xml:space="preserve">should be built to scale horizontally and should be able to handle large authentication volume (as an AUA). Vendor should demonstrate that AUA sever can handle up to 10 million authentication calls in 10 </w:t>
      </w:r>
      <w:proofErr w:type="spellStart"/>
      <w:r w:rsidRPr="009D14F9">
        <w:rPr>
          <w:rFonts w:asciiTheme="minorHAnsi" w:hAnsiTheme="minorHAnsi" w:cstheme="minorHAnsi"/>
          <w:szCs w:val="22"/>
        </w:rPr>
        <w:t>hrs</w:t>
      </w:r>
      <w:proofErr w:type="spellEnd"/>
      <w:r w:rsidRPr="009D14F9">
        <w:rPr>
          <w:rFonts w:asciiTheme="minorHAnsi" w:hAnsiTheme="minorHAnsi" w:cstheme="minorHAnsi"/>
          <w:szCs w:val="22"/>
        </w:rPr>
        <w:t xml:space="preserve"> (1 million an hour) assuming each call takes 1 sec at CIDR.</w:t>
      </w:r>
      <w:r>
        <w:rPr>
          <w:rFonts w:asciiTheme="minorHAnsi" w:hAnsiTheme="minorHAnsi" w:cstheme="minorHAnsi"/>
          <w:szCs w:val="22"/>
        </w:rPr>
        <w:t xml:space="preserve"> Please refer Authentication section </w:t>
      </w:r>
      <w:r w:rsidR="00614A3A">
        <w:rPr>
          <w:rFonts w:asciiTheme="minorHAnsi" w:hAnsiTheme="minorHAnsi" w:cstheme="minorHAnsi"/>
          <w:szCs w:val="22"/>
        </w:rPr>
        <w:t>of UIDAI website for</w:t>
      </w:r>
      <w:r>
        <w:rPr>
          <w:rFonts w:asciiTheme="minorHAnsi" w:hAnsiTheme="minorHAnsi" w:cstheme="minorHAnsi"/>
          <w:szCs w:val="22"/>
        </w:rPr>
        <w:t xml:space="preserve"> further details.</w:t>
      </w:r>
    </w:p>
    <w:p w:rsidR="00C4148A" w:rsidRPr="005243D8" w:rsidRDefault="00E46B97" w:rsidP="005243D8">
      <w:pPr>
        <w:pStyle w:val="ListParagraph"/>
        <w:numPr>
          <w:ilvl w:val="0"/>
          <w:numId w:val="17"/>
        </w:numPr>
        <w:adjustRightInd w:val="0"/>
        <w:spacing w:line="360" w:lineRule="auto"/>
        <w:rPr>
          <w:b/>
          <w:bCs/>
          <w:sz w:val="23"/>
          <w:szCs w:val="23"/>
        </w:rPr>
      </w:pPr>
      <w:r w:rsidRPr="005243D8">
        <w:rPr>
          <w:rFonts w:asciiTheme="minorHAnsi" w:hAnsiTheme="minorHAnsi" w:cstheme="minorHAnsi"/>
          <w:color w:val="000000"/>
          <w:szCs w:val="22"/>
        </w:rPr>
        <w:t>Adherence to the security guidelines published by UIDAI (</w:t>
      </w:r>
      <w:hyperlink r:id="rId9" w:history="1">
        <w:r w:rsidR="00FF4E99" w:rsidRPr="005243D8">
          <w:rPr>
            <w:rStyle w:val="Hyperlink"/>
            <w:rFonts w:asciiTheme="minorHAnsi" w:hAnsiTheme="minorHAnsi" w:cstheme="minorHAnsi"/>
            <w:szCs w:val="22"/>
          </w:rPr>
          <w:t>http://uidai.gov.in/</w:t>
        </w:r>
      </w:hyperlink>
      <w:r w:rsidRPr="005243D8">
        <w:rPr>
          <w:rFonts w:asciiTheme="minorHAnsi" w:hAnsiTheme="minorHAnsi" w:cstheme="minorHAnsi"/>
          <w:color w:val="000000"/>
          <w:szCs w:val="22"/>
        </w:rPr>
        <w:t xml:space="preserve">), security standards such as ISO 27001, Information security standards framework and guidelines standards under </w:t>
      </w:r>
      <w:proofErr w:type="spellStart"/>
      <w:r w:rsidRPr="005243D8">
        <w:rPr>
          <w:rFonts w:asciiTheme="minorHAnsi" w:hAnsiTheme="minorHAnsi" w:cstheme="minorHAnsi"/>
          <w:color w:val="000000"/>
          <w:szCs w:val="22"/>
        </w:rPr>
        <w:t>eGovernance</w:t>
      </w:r>
      <w:proofErr w:type="spellEnd"/>
      <w:r w:rsidRPr="005243D8">
        <w:rPr>
          <w:rFonts w:asciiTheme="minorHAnsi" w:hAnsiTheme="minorHAnsi" w:cstheme="minorHAnsi"/>
          <w:color w:val="000000"/>
          <w:szCs w:val="22"/>
        </w:rPr>
        <w:t xml:space="preserve"> standards (</w:t>
      </w:r>
      <w:r w:rsidRPr="005243D8">
        <w:rPr>
          <w:rFonts w:asciiTheme="minorHAnsi" w:hAnsiTheme="minorHAnsi" w:cstheme="minorHAnsi"/>
          <w:color w:val="0000FF"/>
          <w:szCs w:val="22"/>
        </w:rPr>
        <w:t>http://egovstandards.gov.in</w:t>
      </w:r>
      <w:r w:rsidRPr="005243D8">
        <w:rPr>
          <w:rFonts w:asciiTheme="minorHAnsi" w:hAnsiTheme="minorHAnsi" w:cstheme="minorHAnsi"/>
          <w:color w:val="000000"/>
          <w:szCs w:val="22"/>
        </w:rPr>
        <w:t>), Information Security guidelines as published by Data Security Council of India (DSCI) and complies to IT (Amendment) Act 2008.</w:t>
      </w:r>
      <w:bookmarkStart w:id="1" w:name="_GoBack"/>
      <w:bookmarkEnd w:id="1"/>
    </w:p>
    <w:p w:rsidR="00C4148A" w:rsidRDefault="00C4148A" w:rsidP="00D43E49">
      <w:pPr>
        <w:widowControl w:val="0"/>
        <w:autoSpaceDE w:val="0"/>
        <w:autoSpaceDN w:val="0"/>
        <w:adjustRightInd w:val="0"/>
        <w:spacing w:after="0"/>
        <w:ind w:right="-15"/>
        <w:rPr>
          <w:b/>
          <w:bCs/>
          <w:sz w:val="23"/>
          <w:szCs w:val="23"/>
        </w:rPr>
      </w:pPr>
    </w:p>
    <w:p w:rsidR="003F79CC" w:rsidRDefault="00C4148A" w:rsidP="00D43E49">
      <w:pPr>
        <w:widowControl w:val="0"/>
        <w:autoSpaceDE w:val="0"/>
        <w:autoSpaceDN w:val="0"/>
        <w:adjustRightInd w:val="0"/>
        <w:spacing w:after="0"/>
        <w:ind w:right="-15"/>
        <w:rPr>
          <w:b/>
          <w:bCs/>
          <w:sz w:val="23"/>
          <w:szCs w:val="23"/>
        </w:rPr>
      </w:pPr>
      <w:r>
        <w:rPr>
          <w:b/>
          <w:bCs/>
          <w:sz w:val="23"/>
          <w:szCs w:val="23"/>
        </w:rPr>
        <w:t>Annexure D</w:t>
      </w:r>
    </w:p>
    <w:p w:rsidR="00A31258" w:rsidRPr="00743286" w:rsidRDefault="00A31258" w:rsidP="00A31258">
      <w:pPr>
        <w:rPr>
          <w:b/>
          <w:sz w:val="28"/>
          <w:szCs w:val="28"/>
          <w:lang w:val="en-GB"/>
        </w:rPr>
      </w:pPr>
      <w:r w:rsidRPr="00743286">
        <w:rPr>
          <w:b/>
          <w:bCs/>
          <w:sz w:val="28"/>
          <w:szCs w:val="28"/>
          <w:lang w:val="en-GB"/>
        </w:rPr>
        <w:t>Form</w:t>
      </w:r>
      <w:r w:rsidRPr="00743286">
        <w:rPr>
          <w:b/>
          <w:sz w:val="28"/>
          <w:szCs w:val="28"/>
          <w:lang w:val="en-GB"/>
        </w:rPr>
        <w:t xml:space="preserve"> TECH</w:t>
      </w:r>
      <w:r w:rsidRPr="00743286">
        <w:rPr>
          <w:b/>
          <w:bCs/>
          <w:sz w:val="28"/>
          <w:szCs w:val="28"/>
          <w:lang w:val="en-GB"/>
        </w:rPr>
        <w:t>-6</w:t>
      </w:r>
      <w:r w:rsidRPr="00743286">
        <w:rPr>
          <w:b/>
          <w:sz w:val="28"/>
          <w:szCs w:val="28"/>
          <w:lang w:val="en-GB"/>
        </w:rPr>
        <w:t xml:space="preserve"> Staffing Schedule </w:t>
      </w:r>
    </w:p>
    <w:tbl>
      <w:tblPr>
        <w:tblW w:w="12384" w:type="dxa"/>
        <w:jc w:val="center"/>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655"/>
        <w:gridCol w:w="2188"/>
        <w:gridCol w:w="619"/>
        <w:gridCol w:w="620"/>
        <w:gridCol w:w="620"/>
        <w:gridCol w:w="620"/>
        <w:gridCol w:w="620"/>
        <w:gridCol w:w="620"/>
        <w:gridCol w:w="620"/>
        <w:gridCol w:w="620"/>
        <w:gridCol w:w="620"/>
        <w:gridCol w:w="620"/>
        <w:gridCol w:w="620"/>
        <w:gridCol w:w="620"/>
        <w:gridCol w:w="620"/>
        <w:gridCol w:w="1482"/>
      </w:tblGrid>
      <w:tr w:rsidR="00A31258" w:rsidRPr="00743286" w:rsidTr="000D02E5">
        <w:trPr>
          <w:cantSplit/>
          <w:trHeight w:val="825"/>
          <w:jc w:val="center"/>
        </w:trPr>
        <w:tc>
          <w:tcPr>
            <w:tcW w:w="655" w:type="dxa"/>
            <w:vMerge w:val="restart"/>
            <w:tcBorders>
              <w:top w:val="double" w:sz="4" w:space="0" w:color="auto"/>
              <w:left w:val="double" w:sz="4" w:space="0" w:color="auto"/>
              <w:right w:val="single" w:sz="6" w:space="0" w:color="auto"/>
            </w:tcBorders>
            <w:vAlign w:val="center"/>
          </w:tcPr>
          <w:p w:rsidR="00A31258" w:rsidRPr="00743286" w:rsidRDefault="00A31258" w:rsidP="000D02E5">
            <w:pPr>
              <w:rPr>
                <w:b/>
              </w:rPr>
            </w:pPr>
            <w:r w:rsidRPr="00743286">
              <w:rPr>
                <w:b/>
              </w:rPr>
              <w:t>No</w:t>
            </w:r>
          </w:p>
        </w:tc>
        <w:tc>
          <w:tcPr>
            <w:tcW w:w="2188" w:type="dxa"/>
            <w:vMerge w:val="restart"/>
            <w:tcBorders>
              <w:top w:val="double" w:sz="4" w:space="0" w:color="auto"/>
              <w:left w:val="single" w:sz="6" w:space="0" w:color="auto"/>
              <w:bottom w:val="single" w:sz="6" w:space="0" w:color="auto"/>
              <w:right w:val="single" w:sz="6" w:space="0" w:color="auto"/>
            </w:tcBorders>
            <w:vAlign w:val="center"/>
          </w:tcPr>
          <w:p w:rsidR="00A31258" w:rsidRPr="00743286" w:rsidRDefault="00A31258" w:rsidP="000D02E5">
            <w:pPr>
              <w:rPr>
                <w:b/>
                <w:lang w:val="en-GB"/>
              </w:rPr>
            </w:pPr>
            <w:r w:rsidRPr="00743286">
              <w:rPr>
                <w:b/>
                <w:bCs/>
                <w:lang w:val="en-GB"/>
              </w:rPr>
              <w:t>Name of Staff</w:t>
            </w:r>
            <w:r w:rsidRPr="00AF16A8">
              <w:rPr>
                <w:rFonts w:ascii="Times New Roman Bold" w:hAnsi="Times New Roman Bold"/>
                <w:b/>
                <w:bCs/>
                <w:vertAlign w:val="superscript"/>
                <w:lang w:val="en-GB"/>
              </w:rPr>
              <w:t>1</w:t>
            </w:r>
          </w:p>
        </w:tc>
        <w:tc>
          <w:tcPr>
            <w:tcW w:w="8059" w:type="dxa"/>
            <w:gridSpan w:val="13"/>
            <w:tcBorders>
              <w:top w:val="double" w:sz="4" w:space="0" w:color="auto"/>
              <w:bottom w:val="single" w:sz="6" w:space="0" w:color="auto"/>
              <w:right w:val="single" w:sz="6" w:space="0" w:color="auto"/>
            </w:tcBorders>
            <w:vAlign w:val="center"/>
          </w:tcPr>
          <w:p w:rsidR="00A31258" w:rsidRPr="00743286" w:rsidRDefault="00A31258" w:rsidP="000D02E5">
            <w:pPr>
              <w:rPr>
                <w:b/>
              </w:rPr>
            </w:pPr>
            <w:r w:rsidRPr="00743286">
              <w:rPr>
                <w:b/>
              </w:rPr>
              <w:t>Staff input in Months (in the form of a bar chart)</w:t>
            </w:r>
            <w:r w:rsidRPr="00743286">
              <w:rPr>
                <w:b/>
                <w:vertAlign w:val="superscript"/>
              </w:rPr>
              <w:t>2</w:t>
            </w:r>
          </w:p>
        </w:tc>
        <w:tc>
          <w:tcPr>
            <w:tcW w:w="1482" w:type="dxa"/>
            <w:tcBorders>
              <w:top w:val="double" w:sz="4" w:space="0" w:color="auto"/>
              <w:bottom w:val="single" w:sz="6" w:space="0" w:color="auto"/>
              <w:right w:val="double" w:sz="4" w:space="0" w:color="auto"/>
            </w:tcBorders>
            <w:vAlign w:val="center"/>
          </w:tcPr>
          <w:p w:rsidR="00A31258" w:rsidRPr="00743286" w:rsidRDefault="00A31258" w:rsidP="000D02E5">
            <w:pPr>
              <w:rPr>
                <w:b/>
              </w:rPr>
            </w:pPr>
            <w:r w:rsidRPr="00743286">
              <w:rPr>
                <w:b/>
              </w:rPr>
              <w:t>Total staff man-months proposed</w:t>
            </w:r>
          </w:p>
        </w:tc>
      </w:tr>
      <w:tr w:rsidR="00A31258" w:rsidRPr="00743286" w:rsidTr="000D02E5">
        <w:trPr>
          <w:cantSplit/>
          <w:trHeight w:val="340"/>
          <w:jc w:val="center"/>
        </w:trPr>
        <w:tc>
          <w:tcPr>
            <w:tcW w:w="655" w:type="dxa"/>
            <w:vMerge/>
            <w:tcBorders>
              <w:left w:val="double" w:sz="4" w:space="0" w:color="auto"/>
              <w:bottom w:val="single" w:sz="12" w:space="0" w:color="auto"/>
              <w:right w:val="single" w:sz="6" w:space="0" w:color="auto"/>
            </w:tcBorders>
            <w:vAlign w:val="center"/>
          </w:tcPr>
          <w:p w:rsidR="00A31258" w:rsidRPr="00743286" w:rsidRDefault="00A31258" w:rsidP="000D02E5">
            <w:pPr>
              <w:rPr>
                <w:bCs/>
                <w:sz w:val="20"/>
                <w:lang w:val="en-GB"/>
              </w:rPr>
            </w:pPr>
          </w:p>
        </w:tc>
        <w:tc>
          <w:tcPr>
            <w:tcW w:w="2188" w:type="dxa"/>
            <w:vMerge/>
            <w:tcBorders>
              <w:top w:val="single" w:sz="6" w:space="0" w:color="auto"/>
              <w:left w:val="single" w:sz="6" w:space="0" w:color="auto"/>
              <w:bottom w:val="single" w:sz="12" w:space="0" w:color="auto"/>
              <w:right w:val="single" w:sz="6" w:space="0" w:color="auto"/>
            </w:tcBorders>
            <w:vAlign w:val="center"/>
          </w:tcPr>
          <w:p w:rsidR="00A31258" w:rsidRPr="00743286" w:rsidRDefault="00A31258" w:rsidP="000D02E5">
            <w:pPr>
              <w:rPr>
                <w:bCs/>
                <w:sz w:val="20"/>
                <w:lang w:val="en-GB"/>
              </w:rPr>
            </w:pPr>
          </w:p>
        </w:tc>
        <w:tc>
          <w:tcPr>
            <w:tcW w:w="619" w:type="dxa"/>
            <w:tcBorders>
              <w:top w:val="single" w:sz="6" w:space="0" w:color="auto"/>
              <w:bottom w:val="single" w:sz="12" w:space="0" w:color="auto"/>
            </w:tcBorders>
            <w:vAlign w:val="center"/>
          </w:tcPr>
          <w:p w:rsidR="00A31258" w:rsidRPr="00743286" w:rsidRDefault="00A31258" w:rsidP="000D02E5">
            <w:pPr>
              <w:rPr>
                <w:bCs/>
                <w:sz w:val="20"/>
                <w:lang w:val="en-GB"/>
              </w:rPr>
            </w:pPr>
            <w:r w:rsidRPr="00743286">
              <w:rPr>
                <w:bCs/>
                <w:sz w:val="20"/>
                <w:lang w:val="en-GB"/>
              </w:rPr>
              <w:t>1</w:t>
            </w:r>
          </w:p>
        </w:tc>
        <w:tc>
          <w:tcPr>
            <w:tcW w:w="620" w:type="dxa"/>
            <w:tcBorders>
              <w:top w:val="single" w:sz="6" w:space="0" w:color="auto"/>
              <w:left w:val="single" w:sz="6" w:space="0" w:color="auto"/>
              <w:bottom w:val="single" w:sz="12" w:space="0" w:color="auto"/>
              <w:right w:val="single" w:sz="6" w:space="0" w:color="auto"/>
            </w:tcBorders>
            <w:vAlign w:val="center"/>
          </w:tcPr>
          <w:p w:rsidR="00A31258" w:rsidRPr="00743286" w:rsidRDefault="00A31258" w:rsidP="000D02E5">
            <w:pPr>
              <w:rPr>
                <w:bCs/>
                <w:sz w:val="20"/>
                <w:lang w:val="en-GB"/>
              </w:rPr>
            </w:pPr>
            <w:r w:rsidRPr="00743286">
              <w:rPr>
                <w:bCs/>
                <w:sz w:val="20"/>
                <w:lang w:val="en-GB"/>
              </w:rPr>
              <w:t>2</w:t>
            </w:r>
          </w:p>
        </w:tc>
        <w:tc>
          <w:tcPr>
            <w:tcW w:w="620" w:type="dxa"/>
            <w:tcBorders>
              <w:top w:val="single" w:sz="6" w:space="0" w:color="auto"/>
              <w:bottom w:val="single" w:sz="12" w:space="0" w:color="auto"/>
            </w:tcBorders>
            <w:vAlign w:val="center"/>
          </w:tcPr>
          <w:p w:rsidR="00A31258" w:rsidRPr="00743286" w:rsidRDefault="00A31258" w:rsidP="000D02E5">
            <w:pPr>
              <w:rPr>
                <w:bCs/>
                <w:sz w:val="20"/>
                <w:lang w:val="en-GB"/>
              </w:rPr>
            </w:pPr>
            <w:r w:rsidRPr="00743286">
              <w:rPr>
                <w:bCs/>
                <w:sz w:val="20"/>
                <w:lang w:val="en-GB"/>
              </w:rPr>
              <w:t>3</w:t>
            </w:r>
          </w:p>
        </w:tc>
        <w:tc>
          <w:tcPr>
            <w:tcW w:w="620" w:type="dxa"/>
            <w:tcBorders>
              <w:top w:val="single" w:sz="6" w:space="0" w:color="auto"/>
              <w:left w:val="single" w:sz="6" w:space="0" w:color="auto"/>
              <w:bottom w:val="single" w:sz="12" w:space="0" w:color="auto"/>
              <w:right w:val="single" w:sz="6" w:space="0" w:color="auto"/>
            </w:tcBorders>
            <w:vAlign w:val="center"/>
          </w:tcPr>
          <w:p w:rsidR="00A31258" w:rsidRPr="00743286" w:rsidRDefault="00A31258" w:rsidP="000D02E5">
            <w:pPr>
              <w:rPr>
                <w:bCs/>
                <w:sz w:val="20"/>
                <w:lang w:val="en-GB"/>
              </w:rPr>
            </w:pPr>
            <w:r w:rsidRPr="00743286">
              <w:rPr>
                <w:bCs/>
                <w:sz w:val="20"/>
                <w:lang w:val="en-GB"/>
              </w:rPr>
              <w:t>4</w:t>
            </w:r>
          </w:p>
        </w:tc>
        <w:tc>
          <w:tcPr>
            <w:tcW w:w="620" w:type="dxa"/>
            <w:tcBorders>
              <w:top w:val="single" w:sz="6" w:space="0" w:color="auto"/>
              <w:bottom w:val="single" w:sz="12" w:space="0" w:color="auto"/>
            </w:tcBorders>
            <w:vAlign w:val="center"/>
          </w:tcPr>
          <w:p w:rsidR="00A31258" w:rsidRPr="00743286" w:rsidRDefault="00A31258" w:rsidP="000D02E5">
            <w:pPr>
              <w:rPr>
                <w:bCs/>
                <w:sz w:val="20"/>
                <w:lang w:val="en-GB"/>
              </w:rPr>
            </w:pPr>
            <w:r w:rsidRPr="00743286">
              <w:rPr>
                <w:bCs/>
                <w:sz w:val="20"/>
                <w:lang w:val="en-GB"/>
              </w:rPr>
              <w:t>5</w:t>
            </w:r>
          </w:p>
        </w:tc>
        <w:tc>
          <w:tcPr>
            <w:tcW w:w="620" w:type="dxa"/>
            <w:tcBorders>
              <w:top w:val="single" w:sz="6" w:space="0" w:color="auto"/>
              <w:left w:val="single" w:sz="6" w:space="0" w:color="auto"/>
              <w:bottom w:val="single" w:sz="12" w:space="0" w:color="auto"/>
              <w:right w:val="single" w:sz="6" w:space="0" w:color="auto"/>
            </w:tcBorders>
            <w:vAlign w:val="center"/>
          </w:tcPr>
          <w:p w:rsidR="00A31258" w:rsidRPr="00743286" w:rsidRDefault="00A31258" w:rsidP="000D02E5">
            <w:pPr>
              <w:rPr>
                <w:bCs/>
                <w:sz w:val="20"/>
                <w:lang w:val="en-GB"/>
              </w:rPr>
            </w:pPr>
            <w:r w:rsidRPr="00743286">
              <w:rPr>
                <w:bCs/>
                <w:sz w:val="20"/>
                <w:lang w:val="en-GB"/>
              </w:rPr>
              <w:t>6</w:t>
            </w:r>
          </w:p>
        </w:tc>
        <w:tc>
          <w:tcPr>
            <w:tcW w:w="620" w:type="dxa"/>
            <w:tcBorders>
              <w:top w:val="single" w:sz="6" w:space="0" w:color="auto"/>
              <w:bottom w:val="single" w:sz="12" w:space="0" w:color="auto"/>
            </w:tcBorders>
            <w:vAlign w:val="center"/>
          </w:tcPr>
          <w:p w:rsidR="00A31258" w:rsidRPr="00743286" w:rsidRDefault="00A31258" w:rsidP="000D02E5">
            <w:pPr>
              <w:rPr>
                <w:bCs/>
                <w:sz w:val="20"/>
                <w:lang w:val="en-GB"/>
              </w:rPr>
            </w:pPr>
            <w:r w:rsidRPr="00743286">
              <w:rPr>
                <w:bCs/>
                <w:sz w:val="20"/>
                <w:lang w:val="en-GB"/>
              </w:rPr>
              <w:t>7</w:t>
            </w:r>
          </w:p>
        </w:tc>
        <w:tc>
          <w:tcPr>
            <w:tcW w:w="620" w:type="dxa"/>
            <w:tcBorders>
              <w:top w:val="single" w:sz="6" w:space="0" w:color="auto"/>
              <w:left w:val="single" w:sz="6" w:space="0" w:color="auto"/>
              <w:bottom w:val="single" w:sz="12" w:space="0" w:color="auto"/>
              <w:right w:val="single" w:sz="6" w:space="0" w:color="auto"/>
            </w:tcBorders>
            <w:vAlign w:val="center"/>
          </w:tcPr>
          <w:p w:rsidR="00A31258" w:rsidRPr="00743286" w:rsidRDefault="00A31258" w:rsidP="000D02E5">
            <w:pPr>
              <w:rPr>
                <w:bCs/>
                <w:sz w:val="20"/>
                <w:lang w:val="en-GB"/>
              </w:rPr>
            </w:pPr>
            <w:r w:rsidRPr="00743286">
              <w:rPr>
                <w:bCs/>
                <w:sz w:val="20"/>
                <w:lang w:val="en-GB"/>
              </w:rPr>
              <w:t>8</w:t>
            </w:r>
          </w:p>
        </w:tc>
        <w:tc>
          <w:tcPr>
            <w:tcW w:w="620" w:type="dxa"/>
            <w:tcBorders>
              <w:top w:val="single" w:sz="6" w:space="0" w:color="auto"/>
              <w:bottom w:val="single" w:sz="12" w:space="0" w:color="auto"/>
            </w:tcBorders>
            <w:vAlign w:val="center"/>
          </w:tcPr>
          <w:p w:rsidR="00A31258" w:rsidRPr="00743286" w:rsidRDefault="00A31258" w:rsidP="000D02E5">
            <w:pPr>
              <w:rPr>
                <w:bCs/>
                <w:sz w:val="20"/>
                <w:lang w:val="en-GB"/>
              </w:rPr>
            </w:pPr>
            <w:r w:rsidRPr="00743286">
              <w:rPr>
                <w:bCs/>
                <w:sz w:val="20"/>
                <w:lang w:val="en-GB"/>
              </w:rPr>
              <w:t>9</w:t>
            </w:r>
          </w:p>
        </w:tc>
        <w:tc>
          <w:tcPr>
            <w:tcW w:w="620" w:type="dxa"/>
            <w:tcBorders>
              <w:top w:val="single" w:sz="6" w:space="0" w:color="auto"/>
              <w:left w:val="single" w:sz="6" w:space="0" w:color="auto"/>
              <w:bottom w:val="single" w:sz="12" w:space="0" w:color="auto"/>
              <w:right w:val="single" w:sz="6" w:space="0" w:color="auto"/>
            </w:tcBorders>
            <w:vAlign w:val="center"/>
          </w:tcPr>
          <w:p w:rsidR="00A31258" w:rsidRPr="00743286" w:rsidRDefault="00A31258" w:rsidP="000D02E5">
            <w:pPr>
              <w:rPr>
                <w:bCs/>
                <w:sz w:val="20"/>
                <w:lang w:val="en-GB"/>
              </w:rPr>
            </w:pPr>
            <w:r w:rsidRPr="00743286">
              <w:rPr>
                <w:bCs/>
                <w:sz w:val="20"/>
                <w:lang w:val="en-GB"/>
              </w:rPr>
              <w:t>10</w:t>
            </w:r>
          </w:p>
        </w:tc>
        <w:tc>
          <w:tcPr>
            <w:tcW w:w="620" w:type="dxa"/>
            <w:tcBorders>
              <w:top w:val="single" w:sz="6" w:space="0" w:color="auto"/>
              <w:bottom w:val="single" w:sz="12" w:space="0" w:color="auto"/>
              <w:right w:val="single" w:sz="6" w:space="0" w:color="auto"/>
            </w:tcBorders>
            <w:vAlign w:val="center"/>
          </w:tcPr>
          <w:p w:rsidR="00A31258" w:rsidRPr="00743286" w:rsidRDefault="00A31258" w:rsidP="000D02E5">
            <w:pPr>
              <w:rPr>
                <w:bCs/>
                <w:sz w:val="20"/>
                <w:lang w:val="en-GB"/>
              </w:rPr>
            </w:pPr>
            <w:r w:rsidRPr="00743286">
              <w:rPr>
                <w:bCs/>
                <w:sz w:val="20"/>
                <w:lang w:val="en-GB"/>
              </w:rPr>
              <w:t>11</w:t>
            </w:r>
          </w:p>
        </w:tc>
        <w:tc>
          <w:tcPr>
            <w:tcW w:w="620" w:type="dxa"/>
            <w:tcBorders>
              <w:top w:val="single" w:sz="6" w:space="0" w:color="auto"/>
              <w:left w:val="single" w:sz="6" w:space="0" w:color="auto"/>
              <w:bottom w:val="single" w:sz="12" w:space="0" w:color="auto"/>
            </w:tcBorders>
            <w:vAlign w:val="center"/>
          </w:tcPr>
          <w:p w:rsidR="00A31258" w:rsidRPr="00743286" w:rsidRDefault="00A31258" w:rsidP="000D02E5">
            <w:pPr>
              <w:rPr>
                <w:bCs/>
                <w:sz w:val="20"/>
                <w:lang w:val="en-GB"/>
              </w:rPr>
            </w:pPr>
            <w:r w:rsidRPr="00743286">
              <w:rPr>
                <w:bCs/>
                <w:sz w:val="20"/>
                <w:lang w:val="en-GB"/>
              </w:rPr>
              <w:t>12</w:t>
            </w:r>
          </w:p>
        </w:tc>
        <w:tc>
          <w:tcPr>
            <w:tcW w:w="620" w:type="dxa"/>
            <w:tcBorders>
              <w:top w:val="single" w:sz="6" w:space="0" w:color="auto"/>
              <w:left w:val="single" w:sz="6" w:space="0" w:color="auto"/>
              <w:bottom w:val="single" w:sz="12" w:space="0" w:color="auto"/>
              <w:right w:val="single" w:sz="6" w:space="0" w:color="auto"/>
            </w:tcBorders>
            <w:vAlign w:val="center"/>
          </w:tcPr>
          <w:p w:rsidR="00A31258" w:rsidRPr="00743286" w:rsidRDefault="00A31258" w:rsidP="000D02E5">
            <w:pPr>
              <w:rPr>
                <w:bCs/>
                <w:sz w:val="20"/>
                <w:lang w:val="en-GB"/>
              </w:rPr>
            </w:pPr>
            <w:r w:rsidRPr="00743286">
              <w:rPr>
                <w:bCs/>
                <w:sz w:val="20"/>
                <w:lang w:val="en-GB"/>
              </w:rPr>
              <w:t>n</w:t>
            </w:r>
          </w:p>
        </w:tc>
        <w:tc>
          <w:tcPr>
            <w:tcW w:w="1482" w:type="dxa"/>
            <w:tcBorders>
              <w:top w:val="single" w:sz="6" w:space="0" w:color="auto"/>
              <w:left w:val="single" w:sz="6" w:space="0" w:color="auto"/>
              <w:bottom w:val="single" w:sz="12" w:space="0" w:color="auto"/>
              <w:right w:val="double" w:sz="4" w:space="0" w:color="auto"/>
            </w:tcBorders>
            <w:vAlign w:val="center"/>
          </w:tcPr>
          <w:p w:rsidR="00A31258" w:rsidRPr="00743286" w:rsidRDefault="00A31258" w:rsidP="000D02E5">
            <w:pPr>
              <w:rPr>
                <w:bCs/>
                <w:sz w:val="20"/>
                <w:lang w:val="en-GB"/>
              </w:rPr>
            </w:pPr>
            <w:r w:rsidRPr="00743286">
              <w:rPr>
                <w:bCs/>
                <w:sz w:val="20"/>
                <w:lang w:val="en-GB"/>
              </w:rPr>
              <w:t>Total</w:t>
            </w:r>
          </w:p>
        </w:tc>
      </w:tr>
      <w:tr w:rsidR="00A31258" w:rsidRPr="00743286" w:rsidTr="000D02E5">
        <w:trPr>
          <w:cantSplit/>
          <w:trHeight w:val="481"/>
          <w:jc w:val="center"/>
        </w:trPr>
        <w:tc>
          <w:tcPr>
            <w:tcW w:w="655" w:type="dxa"/>
            <w:vMerge w:val="restart"/>
            <w:tcBorders>
              <w:top w:val="single" w:sz="6" w:space="0" w:color="auto"/>
              <w:left w:val="double" w:sz="4" w:space="0" w:color="auto"/>
              <w:right w:val="single" w:sz="6" w:space="0" w:color="auto"/>
            </w:tcBorders>
            <w:vAlign w:val="center"/>
          </w:tcPr>
          <w:p w:rsidR="00A31258" w:rsidRPr="00743286" w:rsidRDefault="00A31258" w:rsidP="000D02E5">
            <w:pPr>
              <w:rPr>
                <w:sz w:val="20"/>
                <w:lang w:val="en-GB"/>
              </w:rPr>
            </w:pPr>
            <w:r w:rsidRPr="00743286">
              <w:rPr>
                <w:sz w:val="20"/>
                <w:lang w:val="en-GB"/>
              </w:rPr>
              <w:t>1</w:t>
            </w:r>
          </w:p>
        </w:tc>
        <w:tc>
          <w:tcPr>
            <w:tcW w:w="2188" w:type="dxa"/>
            <w:vMerge w:val="restart"/>
            <w:tcBorders>
              <w:top w:val="single" w:sz="6" w:space="0" w:color="auto"/>
              <w:left w:val="single" w:sz="6" w:space="0" w:color="auto"/>
              <w:right w:val="single" w:sz="6" w:space="0" w:color="auto"/>
            </w:tcBorders>
          </w:tcPr>
          <w:p w:rsidR="00A31258" w:rsidRPr="00743286" w:rsidRDefault="00A31258" w:rsidP="000D02E5">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1482" w:type="dxa"/>
            <w:vMerge w:val="restart"/>
            <w:tcBorders>
              <w:top w:val="single" w:sz="6" w:space="0" w:color="auto"/>
              <w:left w:val="single" w:sz="6" w:space="0" w:color="auto"/>
              <w:right w:val="double" w:sz="4" w:space="0" w:color="auto"/>
            </w:tcBorders>
          </w:tcPr>
          <w:p w:rsidR="00A31258" w:rsidRPr="00743286" w:rsidRDefault="00A31258" w:rsidP="000D02E5">
            <w:pPr>
              <w:rPr>
                <w:sz w:val="20"/>
                <w:highlight w:val="yellow"/>
                <w:lang w:val="en-GB"/>
              </w:rPr>
            </w:pPr>
          </w:p>
        </w:tc>
      </w:tr>
      <w:tr w:rsidR="00A31258" w:rsidRPr="00743286" w:rsidTr="000D02E5">
        <w:trPr>
          <w:cantSplit/>
          <w:trHeight w:val="481"/>
          <w:jc w:val="center"/>
        </w:trPr>
        <w:tc>
          <w:tcPr>
            <w:tcW w:w="655" w:type="dxa"/>
            <w:vMerge/>
            <w:tcBorders>
              <w:left w:val="double" w:sz="4" w:space="0" w:color="auto"/>
              <w:bottom w:val="single" w:sz="6" w:space="0" w:color="auto"/>
              <w:right w:val="single" w:sz="6" w:space="0" w:color="auto"/>
            </w:tcBorders>
            <w:vAlign w:val="center"/>
          </w:tcPr>
          <w:p w:rsidR="00A31258" w:rsidRPr="00743286" w:rsidRDefault="00A31258" w:rsidP="000D02E5">
            <w:pPr>
              <w:rPr>
                <w:sz w:val="20"/>
                <w:lang w:val="en-GB"/>
              </w:rPr>
            </w:pPr>
          </w:p>
        </w:tc>
        <w:tc>
          <w:tcPr>
            <w:tcW w:w="2188"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1482" w:type="dxa"/>
            <w:vMerge/>
            <w:tcBorders>
              <w:left w:val="single" w:sz="6" w:space="0" w:color="auto"/>
              <w:bottom w:val="single" w:sz="6" w:space="0" w:color="auto"/>
              <w:right w:val="double" w:sz="4" w:space="0" w:color="auto"/>
            </w:tcBorders>
          </w:tcPr>
          <w:p w:rsidR="00A31258" w:rsidRPr="00743286" w:rsidRDefault="00A31258" w:rsidP="000D02E5">
            <w:pPr>
              <w:rPr>
                <w:sz w:val="20"/>
                <w:highlight w:val="yellow"/>
                <w:lang w:val="en-GB"/>
              </w:rPr>
            </w:pPr>
          </w:p>
        </w:tc>
      </w:tr>
      <w:tr w:rsidR="00A31258" w:rsidRPr="00743286" w:rsidTr="000D02E5">
        <w:trPr>
          <w:cantSplit/>
          <w:trHeight w:val="481"/>
          <w:jc w:val="center"/>
        </w:trPr>
        <w:tc>
          <w:tcPr>
            <w:tcW w:w="655" w:type="dxa"/>
            <w:vMerge w:val="restart"/>
            <w:tcBorders>
              <w:top w:val="single" w:sz="6" w:space="0" w:color="auto"/>
              <w:left w:val="double" w:sz="4" w:space="0" w:color="auto"/>
              <w:right w:val="single" w:sz="6" w:space="0" w:color="auto"/>
            </w:tcBorders>
            <w:vAlign w:val="center"/>
          </w:tcPr>
          <w:p w:rsidR="00A31258" w:rsidRPr="00743286" w:rsidRDefault="00A31258" w:rsidP="000D02E5">
            <w:pPr>
              <w:rPr>
                <w:sz w:val="20"/>
                <w:lang w:val="en-GB"/>
              </w:rPr>
            </w:pPr>
            <w:r w:rsidRPr="00743286">
              <w:rPr>
                <w:sz w:val="20"/>
                <w:lang w:val="en-GB"/>
              </w:rPr>
              <w:t>2</w:t>
            </w:r>
          </w:p>
        </w:tc>
        <w:tc>
          <w:tcPr>
            <w:tcW w:w="2188" w:type="dxa"/>
            <w:vMerge w:val="restart"/>
            <w:tcBorders>
              <w:top w:val="single" w:sz="6" w:space="0" w:color="auto"/>
              <w:left w:val="single" w:sz="6" w:space="0" w:color="auto"/>
              <w:right w:val="single" w:sz="6" w:space="0" w:color="auto"/>
            </w:tcBorders>
          </w:tcPr>
          <w:p w:rsidR="00A31258" w:rsidRPr="00743286" w:rsidRDefault="00A31258" w:rsidP="000D02E5">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1482" w:type="dxa"/>
            <w:vMerge w:val="restart"/>
            <w:tcBorders>
              <w:top w:val="single" w:sz="6" w:space="0" w:color="auto"/>
              <w:left w:val="single" w:sz="6" w:space="0" w:color="auto"/>
              <w:right w:val="double" w:sz="4" w:space="0" w:color="auto"/>
            </w:tcBorders>
          </w:tcPr>
          <w:p w:rsidR="00A31258" w:rsidRPr="00743286" w:rsidRDefault="00A31258" w:rsidP="000D02E5">
            <w:pPr>
              <w:rPr>
                <w:sz w:val="20"/>
                <w:highlight w:val="yellow"/>
                <w:lang w:val="en-GB"/>
              </w:rPr>
            </w:pPr>
          </w:p>
        </w:tc>
      </w:tr>
      <w:tr w:rsidR="00A31258" w:rsidRPr="00743286" w:rsidTr="000D02E5">
        <w:trPr>
          <w:cantSplit/>
          <w:trHeight w:val="481"/>
          <w:jc w:val="center"/>
        </w:trPr>
        <w:tc>
          <w:tcPr>
            <w:tcW w:w="655" w:type="dxa"/>
            <w:vMerge/>
            <w:tcBorders>
              <w:left w:val="double" w:sz="4" w:space="0" w:color="auto"/>
              <w:bottom w:val="single" w:sz="6" w:space="0" w:color="auto"/>
              <w:right w:val="single" w:sz="6" w:space="0" w:color="auto"/>
            </w:tcBorders>
            <w:vAlign w:val="center"/>
          </w:tcPr>
          <w:p w:rsidR="00A31258" w:rsidRPr="00743286" w:rsidRDefault="00A31258" w:rsidP="000D02E5">
            <w:pPr>
              <w:rPr>
                <w:sz w:val="20"/>
                <w:lang w:val="en-GB"/>
              </w:rPr>
            </w:pPr>
          </w:p>
        </w:tc>
        <w:tc>
          <w:tcPr>
            <w:tcW w:w="2188"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1482" w:type="dxa"/>
            <w:vMerge/>
            <w:tcBorders>
              <w:left w:val="single" w:sz="6" w:space="0" w:color="auto"/>
              <w:bottom w:val="single" w:sz="6" w:space="0" w:color="auto"/>
              <w:right w:val="double" w:sz="4" w:space="0" w:color="auto"/>
            </w:tcBorders>
          </w:tcPr>
          <w:p w:rsidR="00A31258" w:rsidRPr="00743286" w:rsidRDefault="00A31258" w:rsidP="000D02E5">
            <w:pPr>
              <w:rPr>
                <w:sz w:val="20"/>
                <w:highlight w:val="yellow"/>
                <w:lang w:val="en-GB"/>
              </w:rPr>
            </w:pPr>
          </w:p>
        </w:tc>
      </w:tr>
      <w:tr w:rsidR="00A31258" w:rsidRPr="00743286" w:rsidTr="000D02E5">
        <w:trPr>
          <w:cantSplit/>
          <w:trHeight w:val="481"/>
          <w:jc w:val="center"/>
        </w:trPr>
        <w:tc>
          <w:tcPr>
            <w:tcW w:w="655" w:type="dxa"/>
            <w:vMerge w:val="restart"/>
            <w:tcBorders>
              <w:top w:val="single" w:sz="6" w:space="0" w:color="auto"/>
              <w:left w:val="double" w:sz="4" w:space="0" w:color="auto"/>
              <w:right w:val="single" w:sz="6" w:space="0" w:color="auto"/>
            </w:tcBorders>
            <w:vAlign w:val="center"/>
          </w:tcPr>
          <w:p w:rsidR="00A31258" w:rsidRPr="00743286" w:rsidRDefault="00A31258" w:rsidP="000D02E5">
            <w:pPr>
              <w:rPr>
                <w:sz w:val="20"/>
                <w:lang w:val="en-GB"/>
              </w:rPr>
            </w:pPr>
            <w:r w:rsidRPr="00743286">
              <w:rPr>
                <w:sz w:val="20"/>
                <w:lang w:val="en-GB"/>
              </w:rPr>
              <w:t>3</w:t>
            </w:r>
          </w:p>
        </w:tc>
        <w:tc>
          <w:tcPr>
            <w:tcW w:w="2188" w:type="dxa"/>
            <w:vMerge w:val="restart"/>
            <w:tcBorders>
              <w:top w:val="single" w:sz="6" w:space="0" w:color="auto"/>
              <w:left w:val="single" w:sz="6" w:space="0" w:color="auto"/>
              <w:right w:val="single" w:sz="6" w:space="0" w:color="auto"/>
            </w:tcBorders>
          </w:tcPr>
          <w:p w:rsidR="00A31258" w:rsidRPr="00743286" w:rsidRDefault="00A31258" w:rsidP="000D02E5">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1482" w:type="dxa"/>
            <w:vMerge w:val="restart"/>
            <w:tcBorders>
              <w:top w:val="single" w:sz="6" w:space="0" w:color="auto"/>
              <w:left w:val="single" w:sz="6" w:space="0" w:color="auto"/>
              <w:right w:val="double" w:sz="4" w:space="0" w:color="auto"/>
            </w:tcBorders>
          </w:tcPr>
          <w:p w:rsidR="00A31258" w:rsidRPr="00743286" w:rsidRDefault="00A31258" w:rsidP="000D02E5">
            <w:pPr>
              <w:rPr>
                <w:sz w:val="20"/>
                <w:highlight w:val="yellow"/>
                <w:lang w:val="en-GB"/>
              </w:rPr>
            </w:pPr>
          </w:p>
        </w:tc>
      </w:tr>
      <w:tr w:rsidR="00A31258" w:rsidRPr="00743286" w:rsidTr="000D02E5">
        <w:trPr>
          <w:cantSplit/>
          <w:trHeight w:val="481"/>
          <w:jc w:val="center"/>
        </w:trPr>
        <w:tc>
          <w:tcPr>
            <w:tcW w:w="655" w:type="dxa"/>
            <w:vMerge/>
            <w:tcBorders>
              <w:left w:val="double" w:sz="4" w:space="0" w:color="auto"/>
              <w:bottom w:val="single" w:sz="6" w:space="0" w:color="auto"/>
              <w:right w:val="single" w:sz="6" w:space="0" w:color="auto"/>
            </w:tcBorders>
            <w:vAlign w:val="center"/>
          </w:tcPr>
          <w:p w:rsidR="00A31258" w:rsidRPr="00743286" w:rsidRDefault="00A31258" w:rsidP="000D02E5">
            <w:pPr>
              <w:rPr>
                <w:sz w:val="20"/>
                <w:lang w:val="en-GB"/>
              </w:rPr>
            </w:pPr>
          </w:p>
        </w:tc>
        <w:tc>
          <w:tcPr>
            <w:tcW w:w="2188"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1482" w:type="dxa"/>
            <w:vMerge/>
            <w:tcBorders>
              <w:left w:val="single" w:sz="6" w:space="0" w:color="auto"/>
              <w:bottom w:val="single" w:sz="6" w:space="0" w:color="auto"/>
              <w:right w:val="double" w:sz="4" w:space="0" w:color="auto"/>
            </w:tcBorders>
          </w:tcPr>
          <w:p w:rsidR="00A31258" w:rsidRPr="00743286" w:rsidRDefault="00A31258" w:rsidP="000D02E5">
            <w:pPr>
              <w:rPr>
                <w:sz w:val="20"/>
                <w:highlight w:val="yellow"/>
                <w:lang w:val="en-GB"/>
              </w:rPr>
            </w:pPr>
          </w:p>
        </w:tc>
      </w:tr>
      <w:tr w:rsidR="00A31258" w:rsidRPr="00743286" w:rsidTr="000D02E5">
        <w:trPr>
          <w:cantSplit/>
          <w:trHeight w:val="481"/>
          <w:jc w:val="center"/>
        </w:trPr>
        <w:tc>
          <w:tcPr>
            <w:tcW w:w="655" w:type="dxa"/>
            <w:vMerge w:val="restart"/>
            <w:tcBorders>
              <w:top w:val="single" w:sz="6" w:space="0" w:color="auto"/>
              <w:left w:val="double" w:sz="4" w:space="0" w:color="auto"/>
              <w:right w:val="single" w:sz="6" w:space="0" w:color="auto"/>
            </w:tcBorders>
            <w:vAlign w:val="center"/>
          </w:tcPr>
          <w:p w:rsidR="00A31258" w:rsidRPr="00743286" w:rsidRDefault="00A31258" w:rsidP="000D02E5">
            <w:pPr>
              <w:rPr>
                <w:sz w:val="20"/>
                <w:lang w:val="en-GB"/>
              </w:rPr>
            </w:pPr>
            <w:r w:rsidRPr="00743286">
              <w:rPr>
                <w:sz w:val="20"/>
                <w:lang w:val="en-GB"/>
              </w:rPr>
              <w:t>N</w:t>
            </w:r>
          </w:p>
        </w:tc>
        <w:tc>
          <w:tcPr>
            <w:tcW w:w="2188" w:type="dxa"/>
            <w:vMerge w:val="restart"/>
            <w:tcBorders>
              <w:top w:val="single" w:sz="6" w:space="0" w:color="auto"/>
              <w:left w:val="single" w:sz="6" w:space="0" w:color="auto"/>
              <w:right w:val="single" w:sz="6" w:space="0" w:color="auto"/>
            </w:tcBorders>
          </w:tcPr>
          <w:p w:rsidR="00A31258" w:rsidRPr="00743286" w:rsidRDefault="00A31258" w:rsidP="000D02E5">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A31258" w:rsidRPr="00743286" w:rsidRDefault="00A31258" w:rsidP="000D02E5">
            <w:pPr>
              <w:rPr>
                <w:sz w:val="20"/>
                <w:lang w:val="en-GB"/>
              </w:rPr>
            </w:pPr>
          </w:p>
        </w:tc>
        <w:tc>
          <w:tcPr>
            <w:tcW w:w="1482" w:type="dxa"/>
            <w:vMerge w:val="restart"/>
            <w:tcBorders>
              <w:top w:val="single" w:sz="6" w:space="0" w:color="auto"/>
              <w:left w:val="single" w:sz="6" w:space="0" w:color="auto"/>
              <w:right w:val="double" w:sz="4" w:space="0" w:color="auto"/>
            </w:tcBorders>
          </w:tcPr>
          <w:p w:rsidR="00A31258" w:rsidRPr="00743286" w:rsidRDefault="00A31258" w:rsidP="000D02E5">
            <w:pPr>
              <w:rPr>
                <w:sz w:val="20"/>
                <w:highlight w:val="yellow"/>
                <w:lang w:val="en-GB"/>
              </w:rPr>
            </w:pPr>
          </w:p>
        </w:tc>
      </w:tr>
      <w:tr w:rsidR="00A31258" w:rsidRPr="00743286" w:rsidTr="000D02E5">
        <w:trPr>
          <w:cantSplit/>
          <w:trHeight w:val="481"/>
          <w:jc w:val="center"/>
        </w:trPr>
        <w:tc>
          <w:tcPr>
            <w:tcW w:w="655" w:type="dxa"/>
            <w:vMerge/>
            <w:tcBorders>
              <w:left w:val="double" w:sz="4" w:space="0" w:color="auto"/>
              <w:bottom w:val="single" w:sz="6" w:space="0" w:color="auto"/>
              <w:right w:val="single" w:sz="6" w:space="0" w:color="auto"/>
            </w:tcBorders>
            <w:vAlign w:val="center"/>
          </w:tcPr>
          <w:p w:rsidR="00A31258" w:rsidRPr="00743286" w:rsidRDefault="00A31258" w:rsidP="000D02E5">
            <w:pPr>
              <w:rPr>
                <w:sz w:val="20"/>
                <w:lang w:val="en-GB"/>
              </w:rPr>
            </w:pPr>
          </w:p>
        </w:tc>
        <w:tc>
          <w:tcPr>
            <w:tcW w:w="2188"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16"/>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620" w:type="dxa"/>
            <w:vMerge/>
            <w:tcBorders>
              <w:left w:val="single" w:sz="6" w:space="0" w:color="auto"/>
              <w:bottom w:val="single" w:sz="6" w:space="0" w:color="auto"/>
              <w:right w:val="single" w:sz="6" w:space="0" w:color="auto"/>
            </w:tcBorders>
          </w:tcPr>
          <w:p w:rsidR="00A31258" w:rsidRPr="00743286" w:rsidRDefault="00A31258" w:rsidP="000D02E5">
            <w:pPr>
              <w:rPr>
                <w:sz w:val="20"/>
                <w:lang w:val="en-GB"/>
              </w:rPr>
            </w:pPr>
          </w:p>
        </w:tc>
        <w:tc>
          <w:tcPr>
            <w:tcW w:w="1482" w:type="dxa"/>
            <w:vMerge/>
            <w:tcBorders>
              <w:left w:val="single" w:sz="6" w:space="0" w:color="auto"/>
              <w:bottom w:val="single" w:sz="6" w:space="0" w:color="auto"/>
              <w:right w:val="double" w:sz="4" w:space="0" w:color="auto"/>
            </w:tcBorders>
          </w:tcPr>
          <w:p w:rsidR="00A31258" w:rsidRPr="00743286" w:rsidRDefault="00A31258" w:rsidP="000D02E5">
            <w:pPr>
              <w:rPr>
                <w:sz w:val="20"/>
                <w:highlight w:val="yellow"/>
                <w:lang w:val="en-GB"/>
              </w:rPr>
            </w:pPr>
          </w:p>
        </w:tc>
      </w:tr>
      <w:tr w:rsidR="00A31258" w:rsidRPr="00743286" w:rsidTr="000D02E5">
        <w:trPr>
          <w:cantSplit/>
          <w:trHeight w:hRule="exact" w:val="330"/>
          <w:jc w:val="center"/>
        </w:trPr>
        <w:tc>
          <w:tcPr>
            <w:tcW w:w="655" w:type="dxa"/>
            <w:tcBorders>
              <w:top w:val="nil"/>
              <w:left w:val="double" w:sz="4" w:space="0" w:color="auto"/>
              <w:bottom w:val="double" w:sz="4" w:space="0" w:color="auto"/>
              <w:right w:val="nil"/>
            </w:tcBorders>
          </w:tcPr>
          <w:p w:rsidR="00A31258" w:rsidRPr="00743286" w:rsidRDefault="00A31258" w:rsidP="000D02E5">
            <w:pPr>
              <w:rPr>
                <w:sz w:val="20"/>
                <w:lang w:val="en-GB"/>
              </w:rPr>
            </w:pPr>
          </w:p>
        </w:tc>
        <w:tc>
          <w:tcPr>
            <w:tcW w:w="2188" w:type="dxa"/>
            <w:tcBorders>
              <w:top w:val="nil"/>
              <w:left w:val="nil"/>
              <w:bottom w:val="double" w:sz="4" w:space="0" w:color="auto"/>
              <w:right w:val="nil"/>
            </w:tcBorders>
          </w:tcPr>
          <w:p w:rsidR="00A31258" w:rsidRPr="00743286" w:rsidRDefault="00A31258" w:rsidP="000D02E5">
            <w:pPr>
              <w:rPr>
                <w:sz w:val="20"/>
                <w:lang w:val="en-GB"/>
              </w:rPr>
            </w:pPr>
          </w:p>
        </w:tc>
        <w:tc>
          <w:tcPr>
            <w:tcW w:w="619" w:type="dxa"/>
            <w:tcBorders>
              <w:top w:val="nil"/>
              <w:left w:val="nil"/>
              <w:bottom w:val="double" w:sz="4" w:space="0" w:color="auto"/>
              <w:right w:val="nil"/>
            </w:tcBorders>
          </w:tcPr>
          <w:p w:rsidR="00A31258" w:rsidRPr="00743286" w:rsidRDefault="00A31258" w:rsidP="000D02E5">
            <w:pPr>
              <w:rPr>
                <w:sz w:val="20"/>
                <w:lang w:val="en-GB"/>
              </w:rPr>
            </w:pPr>
          </w:p>
        </w:tc>
        <w:tc>
          <w:tcPr>
            <w:tcW w:w="620" w:type="dxa"/>
            <w:tcBorders>
              <w:top w:val="nil"/>
              <w:left w:val="nil"/>
              <w:bottom w:val="double" w:sz="4" w:space="0" w:color="auto"/>
              <w:right w:val="nil"/>
            </w:tcBorders>
          </w:tcPr>
          <w:p w:rsidR="00A31258" w:rsidRPr="00743286" w:rsidRDefault="00A31258" w:rsidP="000D02E5">
            <w:pPr>
              <w:rPr>
                <w:sz w:val="20"/>
                <w:lang w:val="en-GB"/>
              </w:rPr>
            </w:pPr>
          </w:p>
        </w:tc>
        <w:tc>
          <w:tcPr>
            <w:tcW w:w="620" w:type="dxa"/>
            <w:tcBorders>
              <w:top w:val="nil"/>
              <w:left w:val="nil"/>
              <w:bottom w:val="double" w:sz="4" w:space="0" w:color="auto"/>
              <w:right w:val="nil"/>
            </w:tcBorders>
          </w:tcPr>
          <w:p w:rsidR="00A31258" w:rsidRPr="00743286" w:rsidRDefault="00A31258" w:rsidP="000D02E5">
            <w:pPr>
              <w:rPr>
                <w:sz w:val="20"/>
                <w:lang w:val="en-GB"/>
              </w:rPr>
            </w:pPr>
          </w:p>
        </w:tc>
        <w:tc>
          <w:tcPr>
            <w:tcW w:w="620" w:type="dxa"/>
            <w:tcBorders>
              <w:top w:val="nil"/>
              <w:left w:val="nil"/>
              <w:bottom w:val="double" w:sz="4" w:space="0" w:color="auto"/>
              <w:right w:val="nil"/>
            </w:tcBorders>
          </w:tcPr>
          <w:p w:rsidR="00A31258" w:rsidRPr="00743286" w:rsidRDefault="00A31258" w:rsidP="000D02E5">
            <w:pPr>
              <w:rPr>
                <w:sz w:val="20"/>
                <w:lang w:val="en-GB"/>
              </w:rPr>
            </w:pPr>
          </w:p>
        </w:tc>
        <w:tc>
          <w:tcPr>
            <w:tcW w:w="620" w:type="dxa"/>
            <w:tcBorders>
              <w:top w:val="nil"/>
              <w:left w:val="nil"/>
              <w:bottom w:val="double" w:sz="4" w:space="0" w:color="auto"/>
              <w:right w:val="nil"/>
            </w:tcBorders>
          </w:tcPr>
          <w:p w:rsidR="00A31258" w:rsidRPr="00743286" w:rsidRDefault="00A31258" w:rsidP="000D02E5">
            <w:pPr>
              <w:rPr>
                <w:sz w:val="20"/>
                <w:lang w:val="en-GB"/>
              </w:rPr>
            </w:pPr>
          </w:p>
        </w:tc>
        <w:tc>
          <w:tcPr>
            <w:tcW w:w="620" w:type="dxa"/>
            <w:tcBorders>
              <w:top w:val="nil"/>
              <w:left w:val="nil"/>
              <w:bottom w:val="double" w:sz="4" w:space="0" w:color="auto"/>
              <w:right w:val="nil"/>
            </w:tcBorders>
          </w:tcPr>
          <w:p w:rsidR="00A31258" w:rsidRPr="00743286" w:rsidRDefault="00A31258" w:rsidP="000D02E5">
            <w:pPr>
              <w:rPr>
                <w:sz w:val="20"/>
                <w:lang w:val="en-GB"/>
              </w:rPr>
            </w:pPr>
          </w:p>
        </w:tc>
        <w:tc>
          <w:tcPr>
            <w:tcW w:w="620" w:type="dxa"/>
            <w:tcBorders>
              <w:top w:val="nil"/>
              <w:left w:val="nil"/>
              <w:bottom w:val="double" w:sz="4" w:space="0" w:color="auto"/>
              <w:right w:val="nil"/>
            </w:tcBorders>
          </w:tcPr>
          <w:p w:rsidR="00A31258" w:rsidRPr="00743286" w:rsidRDefault="00A31258" w:rsidP="000D02E5">
            <w:pPr>
              <w:rPr>
                <w:sz w:val="20"/>
                <w:lang w:val="en-GB"/>
              </w:rPr>
            </w:pPr>
          </w:p>
        </w:tc>
        <w:tc>
          <w:tcPr>
            <w:tcW w:w="620" w:type="dxa"/>
            <w:tcBorders>
              <w:top w:val="nil"/>
              <w:left w:val="nil"/>
              <w:bottom w:val="double" w:sz="4" w:space="0" w:color="auto"/>
              <w:right w:val="nil"/>
            </w:tcBorders>
          </w:tcPr>
          <w:p w:rsidR="00A31258" w:rsidRPr="00743286" w:rsidRDefault="00A31258" w:rsidP="000D02E5">
            <w:pPr>
              <w:rPr>
                <w:sz w:val="20"/>
                <w:lang w:val="en-GB"/>
              </w:rPr>
            </w:pPr>
          </w:p>
        </w:tc>
        <w:tc>
          <w:tcPr>
            <w:tcW w:w="620" w:type="dxa"/>
            <w:tcBorders>
              <w:top w:val="nil"/>
              <w:left w:val="nil"/>
              <w:bottom w:val="double" w:sz="4" w:space="0" w:color="auto"/>
            </w:tcBorders>
          </w:tcPr>
          <w:p w:rsidR="00A31258" w:rsidRPr="00743286" w:rsidRDefault="00A31258" w:rsidP="000D02E5">
            <w:pPr>
              <w:rPr>
                <w:sz w:val="20"/>
                <w:lang w:val="en-GB"/>
              </w:rPr>
            </w:pPr>
          </w:p>
        </w:tc>
        <w:tc>
          <w:tcPr>
            <w:tcW w:w="2480" w:type="dxa"/>
            <w:gridSpan w:val="4"/>
            <w:tcBorders>
              <w:top w:val="single" w:sz="6" w:space="0" w:color="auto"/>
              <w:left w:val="single" w:sz="6" w:space="0" w:color="auto"/>
              <w:bottom w:val="double" w:sz="4" w:space="0" w:color="auto"/>
              <w:right w:val="single" w:sz="6" w:space="0" w:color="auto"/>
            </w:tcBorders>
            <w:vAlign w:val="center"/>
          </w:tcPr>
          <w:p w:rsidR="00A31258" w:rsidRPr="00743286" w:rsidRDefault="00A31258" w:rsidP="000D02E5">
            <w:pPr>
              <w:rPr>
                <w:bCs/>
                <w:sz w:val="20"/>
                <w:lang w:val="en-GB"/>
              </w:rPr>
            </w:pPr>
            <w:r w:rsidRPr="00743286">
              <w:rPr>
                <w:bCs/>
                <w:sz w:val="20"/>
                <w:lang w:val="en-GB"/>
              </w:rPr>
              <w:t>Total</w:t>
            </w:r>
          </w:p>
        </w:tc>
        <w:tc>
          <w:tcPr>
            <w:tcW w:w="1482" w:type="dxa"/>
            <w:tcBorders>
              <w:top w:val="single" w:sz="6" w:space="0" w:color="auto"/>
              <w:left w:val="single" w:sz="6" w:space="0" w:color="auto"/>
              <w:bottom w:val="double" w:sz="4" w:space="0" w:color="auto"/>
              <w:right w:val="double" w:sz="4" w:space="0" w:color="auto"/>
            </w:tcBorders>
          </w:tcPr>
          <w:p w:rsidR="00A31258" w:rsidRPr="00743286" w:rsidRDefault="00A31258" w:rsidP="000D02E5">
            <w:pPr>
              <w:rPr>
                <w:sz w:val="20"/>
                <w:highlight w:val="yellow"/>
                <w:lang w:val="en-GB"/>
              </w:rPr>
            </w:pPr>
          </w:p>
        </w:tc>
      </w:tr>
    </w:tbl>
    <w:p w:rsidR="00A31258" w:rsidRPr="00743286" w:rsidRDefault="00A31258" w:rsidP="00A31258">
      <w:pPr>
        <w:rPr>
          <w:sz w:val="18"/>
          <w:szCs w:val="18"/>
        </w:rPr>
      </w:pPr>
    </w:p>
    <w:p w:rsidR="00A31258" w:rsidRPr="00743286" w:rsidRDefault="00A31258" w:rsidP="00A31258">
      <w:pPr>
        <w:rPr>
          <w:sz w:val="18"/>
          <w:szCs w:val="18"/>
        </w:rPr>
      </w:pPr>
      <w:r w:rsidRPr="00743286">
        <w:rPr>
          <w:sz w:val="18"/>
          <w:szCs w:val="18"/>
        </w:rPr>
        <w:t xml:space="preserve">1.   </w:t>
      </w:r>
      <w:r w:rsidRPr="00743286">
        <w:rPr>
          <w:sz w:val="18"/>
          <w:szCs w:val="18"/>
        </w:rPr>
        <w:tab/>
        <w:t>Professional Staff the input should be indicated individually; for Support Staff it should be indicated by category</w:t>
      </w:r>
    </w:p>
    <w:p w:rsidR="00A31258" w:rsidRPr="00743286" w:rsidRDefault="00A31258" w:rsidP="00A31258">
      <w:pPr>
        <w:rPr>
          <w:sz w:val="18"/>
          <w:szCs w:val="18"/>
          <w:lang w:val="en-GB"/>
        </w:rPr>
      </w:pPr>
      <w:r w:rsidRPr="00743286">
        <w:rPr>
          <w:sz w:val="18"/>
          <w:szCs w:val="18"/>
          <w:lang w:val="en-GB"/>
        </w:rPr>
        <w:t xml:space="preserve"> 2</w:t>
      </w:r>
      <w:r w:rsidRPr="00743286">
        <w:rPr>
          <w:sz w:val="18"/>
          <w:szCs w:val="18"/>
          <w:lang w:val="en-GB"/>
        </w:rPr>
        <w:tab/>
        <w:t xml:space="preserve">Months are counted from the start of the assignment.  </w:t>
      </w:r>
    </w:p>
    <w:p w:rsidR="00A31258" w:rsidRPr="00743286" w:rsidRDefault="00992E2F" w:rsidP="00A31258">
      <w:pPr>
        <w:rPr>
          <w:sz w:val="18"/>
          <w:szCs w:val="18"/>
          <w:lang w:val="en-GB"/>
        </w:rPr>
      </w:pPr>
      <w:r>
        <w:rPr>
          <w:noProof/>
          <w:sz w:val="18"/>
          <w:szCs w:val="18"/>
          <w:lang w:val="en-IN" w:eastAsia="en-IN"/>
        </w:rPr>
        <mc:AlternateContent>
          <mc:Choice Requires="wps">
            <w:drawing>
              <wp:anchor distT="0" distB="0" distL="114300" distR="114300" simplePos="0" relativeHeight="251661312" behindDoc="0" locked="0" layoutInCell="1" allowOverlap="1">
                <wp:simplePos x="0" y="0"/>
                <wp:positionH relativeFrom="column">
                  <wp:posOffset>2400300</wp:posOffset>
                </wp:positionH>
                <wp:positionV relativeFrom="paragraph">
                  <wp:posOffset>50165</wp:posOffset>
                </wp:positionV>
                <wp:extent cx="457200" cy="90170"/>
                <wp:effectExtent l="9525" t="12065" r="9525" b="12065"/>
                <wp:wrapNone/>
                <wp:docPr id="4" name="Rectangle 3" descr="Diagonali larghe verso l'al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pct5">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alt="Description: Diagonali larghe verso l'alto" style="position:absolute;margin-left:189pt;margin-top:3.95pt;width:36pt;height: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" fillcolor="black">
                <v:fill r:id="rId10" o:title="" type="pattern"/>
              </v:rect>
            </w:pict>
          </mc:Fallback>
        </mc:AlternateContent>
      </w:r>
      <w:r>
        <w:rPr>
          <w:noProof/>
          <w:sz w:val="18"/>
          <w:szCs w:val="18"/>
          <w:lang w:val="en-IN" w:eastAsia="en-IN"/>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26035</wp:posOffset>
                </wp:positionV>
                <wp:extent cx="457200" cy="90170"/>
                <wp:effectExtent l="9525" t="6985" r="9525" b="762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9pt;margin-top:2.05pt;width:36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" fillcolor="black"/>
            </w:pict>
          </mc:Fallback>
        </mc:AlternateContent>
      </w:r>
      <w:r w:rsidR="00A31258" w:rsidRPr="00743286">
        <w:rPr>
          <w:sz w:val="18"/>
          <w:szCs w:val="18"/>
          <w:lang w:val="en-GB"/>
        </w:rPr>
        <w:t xml:space="preserve">                                          Full time input</w:t>
      </w:r>
      <w:r w:rsidR="00A31258" w:rsidRPr="00743286">
        <w:rPr>
          <w:sz w:val="18"/>
          <w:szCs w:val="18"/>
          <w:lang w:val="en-GB"/>
        </w:rPr>
        <w:tab/>
        <w:t xml:space="preserve">                                   </w:t>
      </w:r>
      <w:r w:rsidR="00A31258">
        <w:rPr>
          <w:sz w:val="18"/>
          <w:szCs w:val="18"/>
          <w:lang w:val="en-GB"/>
        </w:rPr>
        <w:t xml:space="preserve">                </w:t>
      </w:r>
      <w:r w:rsidR="00A31258" w:rsidRPr="00743286">
        <w:rPr>
          <w:sz w:val="18"/>
          <w:szCs w:val="18"/>
          <w:lang w:val="en-GB"/>
        </w:rPr>
        <w:t xml:space="preserve"> Part time input</w:t>
      </w:r>
    </w:p>
    <w:p w:rsidR="006A605D" w:rsidRDefault="006A605D" w:rsidP="006A605D">
      <w:pPr>
        <w:rPr>
          <w:bCs/>
          <w:lang w:val="en-GB"/>
        </w:rPr>
      </w:pPr>
    </w:p>
    <w:p w:rsidR="006A605D" w:rsidRDefault="00C4148A" w:rsidP="006A605D">
      <w:pPr>
        <w:widowControl w:val="0"/>
        <w:autoSpaceDE w:val="0"/>
        <w:autoSpaceDN w:val="0"/>
        <w:adjustRightInd w:val="0"/>
        <w:spacing w:after="0"/>
        <w:ind w:right="-15"/>
        <w:rPr>
          <w:b/>
          <w:bCs/>
          <w:sz w:val="23"/>
          <w:szCs w:val="23"/>
        </w:rPr>
      </w:pPr>
      <w:r>
        <w:rPr>
          <w:b/>
          <w:bCs/>
          <w:sz w:val="23"/>
          <w:szCs w:val="23"/>
        </w:rPr>
        <w:t>Annexure E</w:t>
      </w:r>
    </w:p>
    <w:p w:rsidR="006A605D" w:rsidRPr="00743286" w:rsidRDefault="006A605D" w:rsidP="006A605D">
      <w:pPr>
        <w:rPr>
          <w:b/>
          <w:sz w:val="28"/>
          <w:szCs w:val="28"/>
          <w:lang w:val="en-GB"/>
        </w:rPr>
      </w:pPr>
      <w:r w:rsidRPr="00743286">
        <w:rPr>
          <w:b/>
          <w:bCs/>
          <w:sz w:val="28"/>
          <w:szCs w:val="28"/>
          <w:lang w:val="en-GB"/>
        </w:rPr>
        <w:t>Form</w:t>
      </w:r>
      <w:r w:rsidRPr="00743286">
        <w:rPr>
          <w:b/>
          <w:sz w:val="28"/>
          <w:szCs w:val="28"/>
          <w:lang w:val="en-GB"/>
        </w:rPr>
        <w:t xml:space="preserve"> </w:t>
      </w:r>
      <w:r>
        <w:rPr>
          <w:b/>
          <w:sz w:val="28"/>
          <w:szCs w:val="28"/>
          <w:lang w:val="en-GB"/>
        </w:rPr>
        <w:t>FIN</w:t>
      </w:r>
      <w:r w:rsidRPr="00743286">
        <w:rPr>
          <w:b/>
          <w:bCs/>
          <w:sz w:val="28"/>
          <w:szCs w:val="28"/>
          <w:lang w:val="en-GB"/>
        </w:rPr>
        <w:t>-</w:t>
      </w:r>
      <w:r>
        <w:rPr>
          <w:b/>
          <w:bCs/>
          <w:sz w:val="28"/>
          <w:szCs w:val="28"/>
          <w:lang w:val="en-GB"/>
        </w:rPr>
        <w:t>7</w:t>
      </w:r>
      <w:r w:rsidRPr="00743286">
        <w:rPr>
          <w:b/>
          <w:sz w:val="28"/>
          <w:szCs w:val="28"/>
          <w:lang w:val="en-GB"/>
        </w:rPr>
        <w:t xml:space="preserve"> Staffing Schedule </w:t>
      </w:r>
    </w:p>
    <w:tbl>
      <w:tblPr>
        <w:tblW w:w="12384" w:type="dxa"/>
        <w:jc w:val="center"/>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655"/>
        <w:gridCol w:w="2188"/>
        <w:gridCol w:w="619"/>
        <w:gridCol w:w="620"/>
        <w:gridCol w:w="620"/>
        <w:gridCol w:w="620"/>
        <w:gridCol w:w="620"/>
        <w:gridCol w:w="620"/>
        <w:gridCol w:w="620"/>
        <w:gridCol w:w="620"/>
        <w:gridCol w:w="620"/>
        <w:gridCol w:w="620"/>
        <w:gridCol w:w="620"/>
        <w:gridCol w:w="620"/>
        <w:gridCol w:w="620"/>
        <w:gridCol w:w="1482"/>
      </w:tblGrid>
      <w:tr w:rsidR="006A605D" w:rsidRPr="00743286" w:rsidTr="000D02E5">
        <w:trPr>
          <w:cantSplit/>
          <w:trHeight w:val="825"/>
          <w:jc w:val="center"/>
        </w:trPr>
        <w:tc>
          <w:tcPr>
            <w:tcW w:w="655" w:type="dxa"/>
            <w:vMerge w:val="restart"/>
            <w:tcBorders>
              <w:top w:val="double" w:sz="4" w:space="0" w:color="auto"/>
              <w:left w:val="double" w:sz="4" w:space="0" w:color="auto"/>
              <w:right w:val="single" w:sz="6" w:space="0" w:color="auto"/>
            </w:tcBorders>
            <w:vAlign w:val="center"/>
          </w:tcPr>
          <w:p w:rsidR="006A605D" w:rsidRPr="00743286" w:rsidRDefault="006A605D" w:rsidP="000D02E5">
            <w:pPr>
              <w:rPr>
                <w:b/>
              </w:rPr>
            </w:pPr>
            <w:r w:rsidRPr="00743286">
              <w:rPr>
                <w:b/>
              </w:rPr>
              <w:t>No</w:t>
            </w:r>
          </w:p>
        </w:tc>
        <w:tc>
          <w:tcPr>
            <w:tcW w:w="2188" w:type="dxa"/>
            <w:vMerge w:val="restart"/>
            <w:tcBorders>
              <w:top w:val="double" w:sz="4" w:space="0" w:color="auto"/>
              <w:left w:val="single" w:sz="6" w:space="0" w:color="auto"/>
              <w:bottom w:val="single" w:sz="6" w:space="0" w:color="auto"/>
              <w:right w:val="single" w:sz="6" w:space="0" w:color="auto"/>
            </w:tcBorders>
            <w:vAlign w:val="center"/>
          </w:tcPr>
          <w:p w:rsidR="006A605D" w:rsidRPr="00743286" w:rsidRDefault="006A605D" w:rsidP="000D02E5">
            <w:pPr>
              <w:rPr>
                <w:b/>
                <w:lang w:val="en-GB"/>
              </w:rPr>
            </w:pPr>
            <w:r w:rsidRPr="00743286">
              <w:rPr>
                <w:b/>
                <w:bCs/>
                <w:lang w:val="en-GB"/>
              </w:rPr>
              <w:t>Name of Staff</w:t>
            </w:r>
            <w:r w:rsidRPr="00AF16A8">
              <w:rPr>
                <w:rFonts w:ascii="Times New Roman Bold" w:hAnsi="Times New Roman Bold"/>
                <w:b/>
                <w:bCs/>
                <w:vertAlign w:val="superscript"/>
                <w:lang w:val="en-GB"/>
              </w:rPr>
              <w:t>1</w:t>
            </w:r>
          </w:p>
        </w:tc>
        <w:tc>
          <w:tcPr>
            <w:tcW w:w="8059" w:type="dxa"/>
            <w:gridSpan w:val="13"/>
            <w:tcBorders>
              <w:top w:val="double" w:sz="4" w:space="0" w:color="auto"/>
              <w:bottom w:val="single" w:sz="6" w:space="0" w:color="auto"/>
              <w:right w:val="single" w:sz="6" w:space="0" w:color="auto"/>
            </w:tcBorders>
            <w:vAlign w:val="center"/>
          </w:tcPr>
          <w:p w:rsidR="006A605D" w:rsidRPr="00743286" w:rsidRDefault="006A605D" w:rsidP="000D02E5">
            <w:pPr>
              <w:rPr>
                <w:b/>
              </w:rPr>
            </w:pPr>
            <w:r w:rsidRPr="00743286">
              <w:rPr>
                <w:b/>
              </w:rPr>
              <w:t>Staff input in Months (in the form of a bar chart)</w:t>
            </w:r>
            <w:r w:rsidRPr="00743286">
              <w:rPr>
                <w:b/>
                <w:vertAlign w:val="superscript"/>
              </w:rPr>
              <w:t>2</w:t>
            </w:r>
          </w:p>
        </w:tc>
        <w:tc>
          <w:tcPr>
            <w:tcW w:w="1482" w:type="dxa"/>
            <w:tcBorders>
              <w:top w:val="double" w:sz="4" w:space="0" w:color="auto"/>
              <w:bottom w:val="single" w:sz="6" w:space="0" w:color="auto"/>
              <w:right w:val="double" w:sz="4" w:space="0" w:color="auto"/>
            </w:tcBorders>
            <w:vAlign w:val="center"/>
          </w:tcPr>
          <w:p w:rsidR="006A605D" w:rsidRPr="00743286" w:rsidRDefault="006A605D" w:rsidP="000D02E5">
            <w:pPr>
              <w:rPr>
                <w:b/>
              </w:rPr>
            </w:pPr>
            <w:r w:rsidRPr="00743286">
              <w:rPr>
                <w:b/>
              </w:rPr>
              <w:t>Total staff man-months proposed</w:t>
            </w:r>
          </w:p>
        </w:tc>
      </w:tr>
      <w:tr w:rsidR="006A605D" w:rsidRPr="00743286" w:rsidTr="000D02E5">
        <w:trPr>
          <w:cantSplit/>
          <w:trHeight w:val="340"/>
          <w:jc w:val="center"/>
        </w:trPr>
        <w:tc>
          <w:tcPr>
            <w:tcW w:w="655" w:type="dxa"/>
            <w:vMerge/>
            <w:tcBorders>
              <w:left w:val="double" w:sz="4" w:space="0" w:color="auto"/>
              <w:bottom w:val="single" w:sz="12" w:space="0" w:color="auto"/>
              <w:right w:val="single" w:sz="6" w:space="0" w:color="auto"/>
            </w:tcBorders>
            <w:vAlign w:val="center"/>
          </w:tcPr>
          <w:p w:rsidR="006A605D" w:rsidRPr="00743286" w:rsidRDefault="006A605D" w:rsidP="000D02E5">
            <w:pPr>
              <w:rPr>
                <w:bCs/>
                <w:sz w:val="20"/>
                <w:lang w:val="en-GB"/>
              </w:rPr>
            </w:pPr>
          </w:p>
        </w:tc>
        <w:tc>
          <w:tcPr>
            <w:tcW w:w="2188" w:type="dxa"/>
            <w:vMerge/>
            <w:tcBorders>
              <w:top w:val="single" w:sz="6" w:space="0" w:color="auto"/>
              <w:left w:val="single" w:sz="6" w:space="0" w:color="auto"/>
              <w:bottom w:val="single" w:sz="12" w:space="0" w:color="auto"/>
              <w:right w:val="single" w:sz="6" w:space="0" w:color="auto"/>
            </w:tcBorders>
            <w:vAlign w:val="center"/>
          </w:tcPr>
          <w:p w:rsidR="006A605D" w:rsidRPr="00743286" w:rsidRDefault="006A605D" w:rsidP="000D02E5">
            <w:pPr>
              <w:rPr>
                <w:bCs/>
                <w:sz w:val="20"/>
                <w:lang w:val="en-GB"/>
              </w:rPr>
            </w:pPr>
          </w:p>
        </w:tc>
        <w:tc>
          <w:tcPr>
            <w:tcW w:w="619" w:type="dxa"/>
            <w:tcBorders>
              <w:top w:val="single" w:sz="6" w:space="0" w:color="auto"/>
              <w:bottom w:val="single" w:sz="12" w:space="0" w:color="auto"/>
            </w:tcBorders>
            <w:vAlign w:val="center"/>
          </w:tcPr>
          <w:p w:rsidR="006A605D" w:rsidRPr="00743286" w:rsidRDefault="006A605D" w:rsidP="000D02E5">
            <w:pPr>
              <w:rPr>
                <w:bCs/>
                <w:sz w:val="20"/>
                <w:lang w:val="en-GB"/>
              </w:rPr>
            </w:pPr>
            <w:r w:rsidRPr="00743286">
              <w:rPr>
                <w:bCs/>
                <w:sz w:val="20"/>
                <w:lang w:val="en-GB"/>
              </w:rPr>
              <w:t>1</w:t>
            </w:r>
          </w:p>
        </w:tc>
        <w:tc>
          <w:tcPr>
            <w:tcW w:w="620" w:type="dxa"/>
            <w:tcBorders>
              <w:top w:val="single" w:sz="6" w:space="0" w:color="auto"/>
              <w:left w:val="single" w:sz="6" w:space="0" w:color="auto"/>
              <w:bottom w:val="single" w:sz="12" w:space="0" w:color="auto"/>
              <w:right w:val="single" w:sz="6" w:space="0" w:color="auto"/>
            </w:tcBorders>
            <w:vAlign w:val="center"/>
          </w:tcPr>
          <w:p w:rsidR="006A605D" w:rsidRPr="00743286" w:rsidRDefault="006A605D" w:rsidP="000D02E5">
            <w:pPr>
              <w:rPr>
                <w:bCs/>
                <w:sz w:val="20"/>
                <w:lang w:val="en-GB"/>
              </w:rPr>
            </w:pPr>
            <w:r w:rsidRPr="00743286">
              <w:rPr>
                <w:bCs/>
                <w:sz w:val="20"/>
                <w:lang w:val="en-GB"/>
              </w:rPr>
              <w:t>2</w:t>
            </w:r>
          </w:p>
        </w:tc>
        <w:tc>
          <w:tcPr>
            <w:tcW w:w="620" w:type="dxa"/>
            <w:tcBorders>
              <w:top w:val="single" w:sz="6" w:space="0" w:color="auto"/>
              <w:bottom w:val="single" w:sz="12" w:space="0" w:color="auto"/>
            </w:tcBorders>
            <w:vAlign w:val="center"/>
          </w:tcPr>
          <w:p w:rsidR="006A605D" w:rsidRPr="00743286" w:rsidRDefault="006A605D" w:rsidP="000D02E5">
            <w:pPr>
              <w:rPr>
                <w:bCs/>
                <w:sz w:val="20"/>
                <w:lang w:val="en-GB"/>
              </w:rPr>
            </w:pPr>
            <w:r w:rsidRPr="00743286">
              <w:rPr>
                <w:bCs/>
                <w:sz w:val="20"/>
                <w:lang w:val="en-GB"/>
              </w:rPr>
              <w:t>3</w:t>
            </w:r>
          </w:p>
        </w:tc>
        <w:tc>
          <w:tcPr>
            <w:tcW w:w="620" w:type="dxa"/>
            <w:tcBorders>
              <w:top w:val="single" w:sz="6" w:space="0" w:color="auto"/>
              <w:left w:val="single" w:sz="6" w:space="0" w:color="auto"/>
              <w:bottom w:val="single" w:sz="12" w:space="0" w:color="auto"/>
              <w:right w:val="single" w:sz="6" w:space="0" w:color="auto"/>
            </w:tcBorders>
            <w:vAlign w:val="center"/>
          </w:tcPr>
          <w:p w:rsidR="006A605D" w:rsidRPr="00743286" w:rsidRDefault="006A605D" w:rsidP="000D02E5">
            <w:pPr>
              <w:rPr>
                <w:bCs/>
                <w:sz w:val="20"/>
                <w:lang w:val="en-GB"/>
              </w:rPr>
            </w:pPr>
            <w:r w:rsidRPr="00743286">
              <w:rPr>
                <w:bCs/>
                <w:sz w:val="20"/>
                <w:lang w:val="en-GB"/>
              </w:rPr>
              <w:t>4</w:t>
            </w:r>
          </w:p>
        </w:tc>
        <w:tc>
          <w:tcPr>
            <w:tcW w:w="620" w:type="dxa"/>
            <w:tcBorders>
              <w:top w:val="single" w:sz="6" w:space="0" w:color="auto"/>
              <w:bottom w:val="single" w:sz="12" w:space="0" w:color="auto"/>
            </w:tcBorders>
            <w:vAlign w:val="center"/>
          </w:tcPr>
          <w:p w:rsidR="006A605D" w:rsidRPr="00743286" w:rsidRDefault="006A605D" w:rsidP="000D02E5">
            <w:pPr>
              <w:rPr>
                <w:bCs/>
                <w:sz w:val="20"/>
                <w:lang w:val="en-GB"/>
              </w:rPr>
            </w:pPr>
            <w:r w:rsidRPr="00743286">
              <w:rPr>
                <w:bCs/>
                <w:sz w:val="20"/>
                <w:lang w:val="en-GB"/>
              </w:rPr>
              <w:t>5</w:t>
            </w:r>
          </w:p>
        </w:tc>
        <w:tc>
          <w:tcPr>
            <w:tcW w:w="620" w:type="dxa"/>
            <w:tcBorders>
              <w:top w:val="single" w:sz="6" w:space="0" w:color="auto"/>
              <w:left w:val="single" w:sz="6" w:space="0" w:color="auto"/>
              <w:bottom w:val="single" w:sz="12" w:space="0" w:color="auto"/>
              <w:right w:val="single" w:sz="6" w:space="0" w:color="auto"/>
            </w:tcBorders>
            <w:vAlign w:val="center"/>
          </w:tcPr>
          <w:p w:rsidR="006A605D" w:rsidRPr="00743286" w:rsidRDefault="006A605D" w:rsidP="000D02E5">
            <w:pPr>
              <w:rPr>
                <w:bCs/>
                <w:sz w:val="20"/>
                <w:lang w:val="en-GB"/>
              </w:rPr>
            </w:pPr>
            <w:r w:rsidRPr="00743286">
              <w:rPr>
                <w:bCs/>
                <w:sz w:val="20"/>
                <w:lang w:val="en-GB"/>
              </w:rPr>
              <w:t>6</w:t>
            </w:r>
          </w:p>
        </w:tc>
        <w:tc>
          <w:tcPr>
            <w:tcW w:w="620" w:type="dxa"/>
            <w:tcBorders>
              <w:top w:val="single" w:sz="6" w:space="0" w:color="auto"/>
              <w:bottom w:val="single" w:sz="12" w:space="0" w:color="auto"/>
            </w:tcBorders>
            <w:vAlign w:val="center"/>
          </w:tcPr>
          <w:p w:rsidR="006A605D" w:rsidRPr="00743286" w:rsidRDefault="006A605D" w:rsidP="000D02E5">
            <w:pPr>
              <w:rPr>
                <w:bCs/>
                <w:sz w:val="20"/>
                <w:lang w:val="en-GB"/>
              </w:rPr>
            </w:pPr>
            <w:r w:rsidRPr="00743286">
              <w:rPr>
                <w:bCs/>
                <w:sz w:val="20"/>
                <w:lang w:val="en-GB"/>
              </w:rPr>
              <w:t>7</w:t>
            </w:r>
          </w:p>
        </w:tc>
        <w:tc>
          <w:tcPr>
            <w:tcW w:w="620" w:type="dxa"/>
            <w:tcBorders>
              <w:top w:val="single" w:sz="6" w:space="0" w:color="auto"/>
              <w:left w:val="single" w:sz="6" w:space="0" w:color="auto"/>
              <w:bottom w:val="single" w:sz="12" w:space="0" w:color="auto"/>
              <w:right w:val="single" w:sz="6" w:space="0" w:color="auto"/>
            </w:tcBorders>
            <w:vAlign w:val="center"/>
          </w:tcPr>
          <w:p w:rsidR="006A605D" w:rsidRPr="00743286" w:rsidRDefault="006A605D" w:rsidP="000D02E5">
            <w:pPr>
              <w:rPr>
                <w:bCs/>
                <w:sz w:val="20"/>
                <w:lang w:val="en-GB"/>
              </w:rPr>
            </w:pPr>
            <w:r w:rsidRPr="00743286">
              <w:rPr>
                <w:bCs/>
                <w:sz w:val="20"/>
                <w:lang w:val="en-GB"/>
              </w:rPr>
              <w:t>8</w:t>
            </w:r>
          </w:p>
        </w:tc>
        <w:tc>
          <w:tcPr>
            <w:tcW w:w="620" w:type="dxa"/>
            <w:tcBorders>
              <w:top w:val="single" w:sz="6" w:space="0" w:color="auto"/>
              <w:bottom w:val="single" w:sz="12" w:space="0" w:color="auto"/>
            </w:tcBorders>
            <w:vAlign w:val="center"/>
          </w:tcPr>
          <w:p w:rsidR="006A605D" w:rsidRPr="00743286" w:rsidRDefault="006A605D" w:rsidP="000D02E5">
            <w:pPr>
              <w:rPr>
                <w:bCs/>
                <w:sz w:val="20"/>
                <w:lang w:val="en-GB"/>
              </w:rPr>
            </w:pPr>
            <w:r w:rsidRPr="00743286">
              <w:rPr>
                <w:bCs/>
                <w:sz w:val="20"/>
                <w:lang w:val="en-GB"/>
              </w:rPr>
              <w:t>9</w:t>
            </w:r>
          </w:p>
        </w:tc>
        <w:tc>
          <w:tcPr>
            <w:tcW w:w="620" w:type="dxa"/>
            <w:tcBorders>
              <w:top w:val="single" w:sz="6" w:space="0" w:color="auto"/>
              <w:left w:val="single" w:sz="6" w:space="0" w:color="auto"/>
              <w:bottom w:val="single" w:sz="12" w:space="0" w:color="auto"/>
              <w:right w:val="single" w:sz="6" w:space="0" w:color="auto"/>
            </w:tcBorders>
            <w:vAlign w:val="center"/>
          </w:tcPr>
          <w:p w:rsidR="006A605D" w:rsidRPr="00743286" w:rsidRDefault="006A605D" w:rsidP="000D02E5">
            <w:pPr>
              <w:rPr>
                <w:bCs/>
                <w:sz w:val="20"/>
                <w:lang w:val="en-GB"/>
              </w:rPr>
            </w:pPr>
            <w:r w:rsidRPr="00743286">
              <w:rPr>
                <w:bCs/>
                <w:sz w:val="20"/>
                <w:lang w:val="en-GB"/>
              </w:rPr>
              <w:t>10</w:t>
            </w:r>
          </w:p>
        </w:tc>
        <w:tc>
          <w:tcPr>
            <w:tcW w:w="620" w:type="dxa"/>
            <w:tcBorders>
              <w:top w:val="single" w:sz="6" w:space="0" w:color="auto"/>
              <w:bottom w:val="single" w:sz="12" w:space="0" w:color="auto"/>
              <w:right w:val="single" w:sz="6" w:space="0" w:color="auto"/>
            </w:tcBorders>
            <w:vAlign w:val="center"/>
          </w:tcPr>
          <w:p w:rsidR="006A605D" w:rsidRPr="00743286" w:rsidRDefault="006A605D" w:rsidP="000D02E5">
            <w:pPr>
              <w:rPr>
                <w:bCs/>
                <w:sz w:val="20"/>
                <w:lang w:val="en-GB"/>
              </w:rPr>
            </w:pPr>
            <w:r w:rsidRPr="00743286">
              <w:rPr>
                <w:bCs/>
                <w:sz w:val="20"/>
                <w:lang w:val="en-GB"/>
              </w:rPr>
              <w:t>11</w:t>
            </w:r>
          </w:p>
        </w:tc>
        <w:tc>
          <w:tcPr>
            <w:tcW w:w="620" w:type="dxa"/>
            <w:tcBorders>
              <w:top w:val="single" w:sz="6" w:space="0" w:color="auto"/>
              <w:left w:val="single" w:sz="6" w:space="0" w:color="auto"/>
              <w:bottom w:val="single" w:sz="12" w:space="0" w:color="auto"/>
            </w:tcBorders>
            <w:vAlign w:val="center"/>
          </w:tcPr>
          <w:p w:rsidR="006A605D" w:rsidRPr="00743286" w:rsidRDefault="006A605D" w:rsidP="000D02E5">
            <w:pPr>
              <w:rPr>
                <w:bCs/>
                <w:sz w:val="20"/>
                <w:lang w:val="en-GB"/>
              </w:rPr>
            </w:pPr>
            <w:r w:rsidRPr="00743286">
              <w:rPr>
                <w:bCs/>
                <w:sz w:val="20"/>
                <w:lang w:val="en-GB"/>
              </w:rPr>
              <w:t>12</w:t>
            </w:r>
          </w:p>
        </w:tc>
        <w:tc>
          <w:tcPr>
            <w:tcW w:w="620" w:type="dxa"/>
            <w:tcBorders>
              <w:top w:val="single" w:sz="6" w:space="0" w:color="auto"/>
              <w:left w:val="single" w:sz="6" w:space="0" w:color="auto"/>
              <w:bottom w:val="single" w:sz="12" w:space="0" w:color="auto"/>
              <w:right w:val="single" w:sz="6" w:space="0" w:color="auto"/>
            </w:tcBorders>
            <w:vAlign w:val="center"/>
          </w:tcPr>
          <w:p w:rsidR="006A605D" w:rsidRPr="00743286" w:rsidRDefault="006A605D" w:rsidP="000D02E5">
            <w:pPr>
              <w:rPr>
                <w:bCs/>
                <w:sz w:val="20"/>
                <w:lang w:val="en-GB"/>
              </w:rPr>
            </w:pPr>
            <w:r w:rsidRPr="00743286">
              <w:rPr>
                <w:bCs/>
                <w:sz w:val="20"/>
                <w:lang w:val="en-GB"/>
              </w:rPr>
              <w:t>n</w:t>
            </w:r>
          </w:p>
        </w:tc>
        <w:tc>
          <w:tcPr>
            <w:tcW w:w="1482" w:type="dxa"/>
            <w:tcBorders>
              <w:top w:val="single" w:sz="6" w:space="0" w:color="auto"/>
              <w:left w:val="single" w:sz="6" w:space="0" w:color="auto"/>
              <w:bottom w:val="single" w:sz="12" w:space="0" w:color="auto"/>
              <w:right w:val="double" w:sz="4" w:space="0" w:color="auto"/>
            </w:tcBorders>
            <w:vAlign w:val="center"/>
          </w:tcPr>
          <w:p w:rsidR="006A605D" w:rsidRPr="00743286" w:rsidRDefault="006A605D" w:rsidP="000D02E5">
            <w:pPr>
              <w:rPr>
                <w:bCs/>
                <w:sz w:val="20"/>
                <w:lang w:val="en-GB"/>
              </w:rPr>
            </w:pPr>
            <w:r w:rsidRPr="00743286">
              <w:rPr>
                <w:bCs/>
                <w:sz w:val="20"/>
                <w:lang w:val="en-GB"/>
              </w:rPr>
              <w:t>Total</w:t>
            </w:r>
          </w:p>
        </w:tc>
      </w:tr>
      <w:tr w:rsidR="006A605D" w:rsidRPr="00743286" w:rsidTr="000D02E5">
        <w:trPr>
          <w:cantSplit/>
          <w:trHeight w:val="481"/>
          <w:jc w:val="center"/>
        </w:trPr>
        <w:tc>
          <w:tcPr>
            <w:tcW w:w="655" w:type="dxa"/>
            <w:vMerge w:val="restart"/>
            <w:tcBorders>
              <w:top w:val="single" w:sz="6" w:space="0" w:color="auto"/>
              <w:left w:val="double" w:sz="4" w:space="0" w:color="auto"/>
              <w:right w:val="single" w:sz="6" w:space="0" w:color="auto"/>
            </w:tcBorders>
            <w:vAlign w:val="center"/>
          </w:tcPr>
          <w:p w:rsidR="006A605D" w:rsidRPr="00743286" w:rsidRDefault="006A605D" w:rsidP="000D02E5">
            <w:pPr>
              <w:rPr>
                <w:sz w:val="20"/>
                <w:lang w:val="en-GB"/>
              </w:rPr>
            </w:pPr>
            <w:r w:rsidRPr="00743286">
              <w:rPr>
                <w:sz w:val="20"/>
                <w:lang w:val="en-GB"/>
              </w:rPr>
              <w:t>1</w:t>
            </w:r>
          </w:p>
        </w:tc>
        <w:tc>
          <w:tcPr>
            <w:tcW w:w="2188" w:type="dxa"/>
            <w:vMerge w:val="restart"/>
            <w:tcBorders>
              <w:top w:val="single" w:sz="6" w:space="0" w:color="auto"/>
              <w:left w:val="single" w:sz="6" w:space="0" w:color="auto"/>
              <w:right w:val="single" w:sz="6" w:space="0" w:color="auto"/>
            </w:tcBorders>
          </w:tcPr>
          <w:p w:rsidR="006A605D" w:rsidRPr="00743286" w:rsidRDefault="006A605D" w:rsidP="000D02E5">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1482" w:type="dxa"/>
            <w:vMerge w:val="restart"/>
            <w:tcBorders>
              <w:top w:val="single" w:sz="6" w:space="0" w:color="auto"/>
              <w:left w:val="single" w:sz="6" w:space="0" w:color="auto"/>
              <w:right w:val="double" w:sz="4" w:space="0" w:color="auto"/>
            </w:tcBorders>
          </w:tcPr>
          <w:p w:rsidR="006A605D" w:rsidRPr="00743286" w:rsidRDefault="006A605D" w:rsidP="000D02E5">
            <w:pPr>
              <w:rPr>
                <w:sz w:val="20"/>
                <w:highlight w:val="yellow"/>
                <w:lang w:val="en-GB"/>
              </w:rPr>
            </w:pPr>
          </w:p>
        </w:tc>
      </w:tr>
      <w:tr w:rsidR="006A605D" w:rsidRPr="00743286" w:rsidTr="000D02E5">
        <w:trPr>
          <w:cantSplit/>
          <w:trHeight w:val="481"/>
          <w:jc w:val="center"/>
        </w:trPr>
        <w:tc>
          <w:tcPr>
            <w:tcW w:w="655" w:type="dxa"/>
            <w:vMerge/>
            <w:tcBorders>
              <w:left w:val="double" w:sz="4" w:space="0" w:color="auto"/>
              <w:bottom w:val="single" w:sz="6" w:space="0" w:color="auto"/>
              <w:right w:val="single" w:sz="6" w:space="0" w:color="auto"/>
            </w:tcBorders>
            <w:vAlign w:val="center"/>
          </w:tcPr>
          <w:p w:rsidR="006A605D" w:rsidRPr="00743286" w:rsidRDefault="006A605D" w:rsidP="000D02E5">
            <w:pPr>
              <w:rPr>
                <w:sz w:val="20"/>
                <w:lang w:val="en-GB"/>
              </w:rPr>
            </w:pPr>
          </w:p>
        </w:tc>
        <w:tc>
          <w:tcPr>
            <w:tcW w:w="2188"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1482" w:type="dxa"/>
            <w:vMerge/>
            <w:tcBorders>
              <w:left w:val="single" w:sz="6" w:space="0" w:color="auto"/>
              <w:bottom w:val="single" w:sz="6" w:space="0" w:color="auto"/>
              <w:right w:val="double" w:sz="4" w:space="0" w:color="auto"/>
            </w:tcBorders>
          </w:tcPr>
          <w:p w:rsidR="006A605D" w:rsidRPr="00743286" w:rsidRDefault="006A605D" w:rsidP="000D02E5">
            <w:pPr>
              <w:rPr>
                <w:sz w:val="20"/>
                <w:highlight w:val="yellow"/>
                <w:lang w:val="en-GB"/>
              </w:rPr>
            </w:pPr>
          </w:p>
        </w:tc>
      </w:tr>
      <w:tr w:rsidR="006A605D" w:rsidRPr="00743286" w:rsidTr="000D02E5">
        <w:trPr>
          <w:cantSplit/>
          <w:trHeight w:val="481"/>
          <w:jc w:val="center"/>
        </w:trPr>
        <w:tc>
          <w:tcPr>
            <w:tcW w:w="655" w:type="dxa"/>
            <w:vMerge w:val="restart"/>
            <w:tcBorders>
              <w:top w:val="single" w:sz="6" w:space="0" w:color="auto"/>
              <w:left w:val="double" w:sz="4" w:space="0" w:color="auto"/>
              <w:right w:val="single" w:sz="6" w:space="0" w:color="auto"/>
            </w:tcBorders>
            <w:vAlign w:val="center"/>
          </w:tcPr>
          <w:p w:rsidR="006A605D" w:rsidRPr="00743286" w:rsidRDefault="006A605D" w:rsidP="000D02E5">
            <w:pPr>
              <w:rPr>
                <w:sz w:val="20"/>
                <w:lang w:val="en-GB"/>
              </w:rPr>
            </w:pPr>
            <w:r w:rsidRPr="00743286">
              <w:rPr>
                <w:sz w:val="20"/>
                <w:lang w:val="en-GB"/>
              </w:rPr>
              <w:t>2</w:t>
            </w:r>
          </w:p>
        </w:tc>
        <w:tc>
          <w:tcPr>
            <w:tcW w:w="2188" w:type="dxa"/>
            <w:vMerge w:val="restart"/>
            <w:tcBorders>
              <w:top w:val="single" w:sz="6" w:space="0" w:color="auto"/>
              <w:left w:val="single" w:sz="6" w:space="0" w:color="auto"/>
              <w:right w:val="single" w:sz="6" w:space="0" w:color="auto"/>
            </w:tcBorders>
          </w:tcPr>
          <w:p w:rsidR="006A605D" w:rsidRPr="00743286" w:rsidRDefault="006A605D" w:rsidP="000D02E5">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1482" w:type="dxa"/>
            <w:vMerge w:val="restart"/>
            <w:tcBorders>
              <w:top w:val="single" w:sz="6" w:space="0" w:color="auto"/>
              <w:left w:val="single" w:sz="6" w:space="0" w:color="auto"/>
              <w:right w:val="double" w:sz="4" w:space="0" w:color="auto"/>
            </w:tcBorders>
          </w:tcPr>
          <w:p w:rsidR="006A605D" w:rsidRPr="00743286" w:rsidRDefault="006A605D" w:rsidP="000D02E5">
            <w:pPr>
              <w:rPr>
                <w:sz w:val="20"/>
                <w:highlight w:val="yellow"/>
                <w:lang w:val="en-GB"/>
              </w:rPr>
            </w:pPr>
          </w:p>
        </w:tc>
      </w:tr>
      <w:tr w:rsidR="006A605D" w:rsidRPr="00743286" w:rsidTr="000D02E5">
        <w:trPr>
          <w:cantSplit/>
          <w:trHeight w:val="481"/>
          <w:jc w:val="center"/>
        </w:trPr>
        <w:tc>
          <w:tcPr>
            <w:tcW w:w="655" w:type="dxa"/>
            <w:vMerge/>
            <w:tcBorders>
              <w:left w:val="double" w:sz="4" w:space="0" w:color="auto"/>
              <w:bottom w:val="single" w:sz="6" w:space="0" w:color="auto"/>
              <w:right w:val="single" w:sz="6" w:space="0" w:color="auto"/>
            </w:tcBorders>
            <w:vAlign w:val="center"/>
          </w:tcPr>
          <w:p w:rsidR="006A605D" w:rsidRPr="00743286" w:rsidRDefault="006A605D" w:rsidP="000D02E5">
            <w:pPr>
              <w:rPr>
                <w:sz w:val="20"/>
                <w:lang w:val="en-GB"/>
              </w:rPr>
            </w:pPr>
          </w:p>
        </w:tc>
        <w:tc>
          <w:tcPr>
            <w:tcW w:w="2188"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1482" w:type="dxa"/>
            <w:vMerge/>
            <w:tcBorders>
              <w:left w:val="single" w:sz="6" w:space="0" w:color="auto"/>
              <w:bottom w:val="single" w:sz="6" w:space="0" w:color="auto"/>
              <w:right w:val="double" w:sz="4" w:space="0" w:color="auto"/>
            </w:tcBorders>
          </w:tcPr>
          <w:p w:rsidR="006A605D" w:rsidRPr="00743286" w:rsidRDefault="006A605D" w:rsidP="000D02E5">
            <w:pPr>
              <w:rPr>
                <w:sz w:val="20"/>
                <w:highlight w:val="yellow"/>
                <w:lang w:val="en-GB"/>
              </w:rPr>
            </w:pPr>
          </w:p>
        </w:tc>
      </w:tr>
      <w:tr w:rsidR="006A605D" w:rsidRPr="00743286" w:rsidTr="000D02E5">
        <w:trPr>
          <w:cantSplit/>
          <w:trHeight w:val="481"/>
          <w:jc w:val="center"/>
        </w:trPr>
        <w:tc>
          <w:tcPr>
            <w:tcW w:w="655" w:type="dxa"/>
            <w:vMerge w:val="restart"/>
            <w:tcBorders>
              <w:top w:val="single" w:sz="6" w:space="0" w:color="auto"/>
              <w:left w:val="double" w:sz="4" w:space="0" w:color="auto"/>
              <w:right w:val="single" w:sz="6" w:space="0" w:color="auto"/>
            </w:tcBorders>
            <w:vAlign w:val="center"/>
          </w:tcPr>
          <w:p w:rsidR="006A605D" w:rsidRPr="00743286" w:rsidRDefault="006A605D" w:rsidP="000D02E5">
            <w:pPr>
              <w:rPr>
                <w:sz w:val="20"/>
                <w:lang w:val="en-GB"/>
              </w:rPr>
            </w:pPr>
            <w:r w:rsidRPr="00743286">
              <w:rPr>
                <w:sz w:val="20"/>
                <w:lang w:val="en-GB"/>
              </w:rPr>
              <w:t>3</w:t>
            </w:r>
          </w:p>
        </w:tc>
        <w:tc>
          <w:tcPr>
            <w:tcW w:w="2188" w:type="dxa"/>
            <w:vMerge w:val="restart"/>
            <w:tcBorders>
              <w:top w:val="single" w:sz="6" w:space="0" w:color="auto"/>
              <w:left w:val="single" w:sz="6" w:space="0" w:color="auto"/>
              <w:right w:val="single" w:sz="6" w:space="0" w:color="auto"/>
            </w:tcBorders>
          </w:tcPr>
          <w:p w:rsidR="006A605D" w:rsidRPr="00743286" w:rsidRDefault="006A605D" w:rsidP="000D02E5">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1482" w:type="dxa"/>
            <w:vMerge w:val="restart"/>
            <w:tcBorders>
              <w:top w:val="single" w:sz="6" w:space="0" w:color="auto"/>
              <w:left w:val="single" w:sz="6" w:space="0" w:color="auto"/>
              <w:right w:val="double" w:sz="4" w:space="0" w:color="auto"/>
            </w:tcBorders>
          </w:tcPr>
          <w:p w:rsidR="006A605D" w:rsidRPr="00743286" w:rsidRDefault="006A605D" w:rsidP="000D02E5">
            <w:pPr>
              <w:rPr>
                <w:sz w:val="20"/>
                <w:highlight w:val="yellow"/>
                <w:lang w:val="en-GB"/>
              </w:rPr>
            </w:pPr>
          </w:p>
        </w:tc>
      </w:tr>
      <w:tr w:rsidR="006A605D" w:rsidRPr="00743286" w:rsidTr="000D02E5">
        <w:trPr>
          <w:cantSplit/>
          <w:trHeight w:val="481"/>
          <w:jc w:val="center"/>
        </w:trPr>
        <w:tc>
          <w:tcPr>
            <w:tcW w:w="655" w:type="dxa"/>
            <w:vMerge/>
            <w:tcBorders>
              <w:left w:val="double" w:sz="4" w:space="0" w:color="auto"/>
              <w:bottom w:val="single" w:sz="6" w:space="0" w:color="auto"/>
              <w:right w:val="single" w:sz="6" w:space="0" w:color="auto"/>
            </w:tcBorders>
            <w:vAlign w:val="center"/>
          </w:tcPr>
          <w:p w:rsidR="006A605D" w:rsidRPr="00743286" w:rsidRDefault="006A605D" w:rsidP="000D02E5">
            <w:pPr>
              <w:rPr>
                <w:sz w:val="20"/>
                <w:lang w:val="en-GB"/>
              </w:rPr>
            </w:pPr>
          </w:p>
        </w:tc>
        <w:tc>
          <w:tcPr>
            <w:tcW w:w="2188"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1482" w:type="dxa"/>
            <w:vMerge/>
            <w:tcBorders>
              <w:left w:val="single" w:sz="6" w:space="0" w:color="auto"/>
              <w:bottom w:val="single" w:sz="6" w:space="0" w:color="auto"/>
              <w:right w:val="double" w:sz="4" w:space="0" w:color="auto"/>
            </w:tcBorders>
          </w:tcPr>
          <w:p w:rsidR="006A605D" w:rsidRPr="00743286" w:rsidRDefault="006A605D" w:rsidP="000D02E5">
            <w:pPr>
              <w:rPr>
                <w:sz w:val="20"/>
                <w:highlight w:val="yellow"/>
                <w:lang w:val="en-GB"/>
              </w:rPr>
            </w:pPr>
          </w:p>
        </w:tc>
      </w:tr>
      <w:tr w:rsidR="006A605D" w:rsidRPr="00743286" w:rsidTr="000D02E5">
        <w:trPr>
          <w:cantSplit/>
          <w:trHeight w:val="481"/>
          <w:jc w:val="center"/>
        </w:trPr>
        <w:tc>
          <w:tcPr>
            <w:tcW w:w="655" w:type="dxa"/>
            <w:vMerge w:val="restart"/>
            <w:tcBorders>
              <w:top w:val="single" w:sz="6" w:space="0" w:color="auto"/>
              <w:left w:val="double" w:sz="4" w:space="0" w:color="auto"/>
              <w:right w:val="single" w:sz="6" w:space="0" w:color="auto"/>
            </w:tcBorders>
            <w:vAlign w:val="center"/>
          </w:tcPr>
          <w:p w:rsidR="006A605D" w:rsidRPr="00743286" w:rsidRDefault="006A605D" w:rsidP="000D02E5">
            <w:pPr>
              <w:rPr>
                <w:sz w:val="20"/>
                <w:lang w:val="en-GB"/>
              </w:rPr>
            </w:pPr>
            <w:r w:rsidRPr="00743286">
              <w:rPr>
                <w:sz w:val="20"/>
                <w:lang w:val="en-GB"/>
              </w:rPr>
              <w:t>N</w:t>
            </w:r>
          </w:p>
        </w:tc>
        <w:tc>
          <w:tcPr>
            <w:tcW w:w="2188" w:type="dxa"/>
            <w:vMerge w:val="restart"/>
            <w:tcBorders>
              <w:top w:val="single" w:sz="6" w:space="0" w:color="auto"/>
              <w:left w:val="single" w:sz="6" w:space="0" w:color="auto"/>
              <w:right w:val="single" w:sz="6" w:space="0" w:color="auto"/>
            </w:tcBorders>
          </w:tcPr>
          <w:p w:rsidR="006A605D" w:rsidRPr="00743286" w:rsidRDefault="006A605D" w:rsidP="000D02E5">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16"/>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620" w:type="dxa"/>
            <w:vMerge w:val="restart"/>
            <w:tcBorders>
              <w:top w:val="single" w:sz="6" w:space="0" w:color="auto"/>
              <w:left w:val="single" w:sz="6" w:space="0" w:color="auto"/>
              <w:right w:val="single" w:sz="6" w:space="0" w:color="auto"/>
            </w:tcBorders>
          </w:tcPr>
          <w:p w:rsidR="006A605D" w:rsidRPr="00743286" w:rsidRDefault="006A605D" w:rsidP="000D02E5">
            <w:pPr>
              <w:rPr>
                <w:sz w:val="20"/>
                <w:lang w:val="en-GB"/>
              </w:rPr>
            </w:pPr>
          </w:p>
        </w:tc>
        <w:tc>
          <w:tcPr>
            <w:tcW w:w="1482" w:type="dxa"/>
            <w:vMerge w:val="restart"/>
            <w:tcBorders>
              <w:top w:val="single" w:sz="6" w:space="0" w:color="auto"/>
              <w:left w:val="single" w:sz="6" w:space="0" w:color="auto"/>
              <w:right w:val="double" w:sz="4" w:space="0" w:color="auto"/>
            </w:tcBorders>
          </w:tcPr>
          <w:p w:rsidR="006A605D" w:rsidRPr="00743286" w:rsidRDefault="006A605D" w:rsidP="000D02E5">
            <w:pPr>
              <w:rPr>
                <w:sz w:val="20"/>
                <w:highlight w:val="yellow"/>
                <w:lang w:val="en-GB"/>
              </w:rPr>
            </w:pPr>
          </w:p>
        </w:tc>
      </w:tr>
      <w:tr w:rsidR="006A605D" w:rsidRPr="00743286" w:rsidTr="000D02E5">
        <w:trPr>
          <w:cantSplit/>
          <w:trHeight w:val="481"/>
          <w:jc w:val="center"/>
        </w:trPr>
        <w:tc>
          <w:tcPr>
            <w:tcW w:w="655" w:type="dxa"/>
            <w:vMerge/>
            <w:tcBorders>
              <w:left w:val="double" w:sz="4" w:space="0" w:color="auto"/>
              <w:bottom w:val="single" w:sz="6" w:space="0" w:color="auto"/>
              <w:right w:val="single" w:sz="6" w:space="0" w:color="auto"/>
            </w:tcBorders>
            <w:vAlign w:val="center"/>
          </w:tcPr>
          <w:p w:rsidR="006A605D" w:rsidRPr="00743286" w:rsidRDefault="006A605D" w:rsidP="000D02E5">
            <w:pPr>
              <w:rPr>
                <w:sz w:val="20"/>
                <w:lang w:val="en-GB"/>
              </w:rPr>
            </w:pPr>
          </w:p>
        </w:tc>
        <w:tc>
          <w:tcPr>
            <w:tcW w:w="2188"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16"/>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620" w:type="dxa"/>
            <w:vMerge/>
            <w:tcBorders>
              <w:left w:val="single" w:sz="6" w:space="0" w:color="auto"/>
              <w:bottom w:val="single" w:sz="6" w:space="0" w:color="auto"/>
              <w:right w:val="single" w:sz="6" w:space="0" w:color="auto"/>
            </w:tcBorders>
          </w:tcPr>
          <w:p w:rsidR="006A605D" w:rsidRPr="00743286" w:rsidRDefault="006A605D" w:rsidP="000D02E5">
            <w:pPr>
              <w:rPr>
                <w:sz w:val="20"/>
                <w:lang w:val="en-GB"/>
              </w:rPr>
            </w:pPr>
          </w:p>
        </w:tc>
        <w:tc>
          <w:tcPr>
            <w:tcW w:w="1482" w:type="dxa"/>
            <w:vMerge/>
            <w:tcBorders>
              <w:left w:val="single" w:sz="6" w:space="0" w:color="auto"/>
              <w:bottom w:val="single" w:sz="6" w:space="0" w:color="auto"/>
              <w:right w:val="double" w:sz="4" w:space="0" w:color="auto"/>
            </w:tcBorders>
          </w:tcPr>
          <w:p w:rsidR="006A605D" w:rsidRPr="00743286" w:rsidRDefault="006A605D" w:rsidP="000D02E5">
            <w:pPr>
              <w:rPr>
                <w:sz w:val="20"/>
                <w:highlight w:val="yellow"/>
                <w:lang w:val="en-GB"/>
              </w:rPr>
            </w:pPr>
          </w:p>
        </w:tc>
      </w:tr>
      <w:tr w:rsidR="006A605D" w:rsidRPr="00743286" w:rsidTr="000D02E5">
        <w:trPr>
          <w:cantSplit/>
          <w:trHeight w:hRule="exact" w:val="330"/>
          <w:jc w:val="center"/>
        </w:trPr>
        <w:tc>
          <w:tcPr>
            <w:tcW w:w="655" w:type="dxa"/>
            <w:tcBorders>
              <w:top w:val="nil"/>
              <w:left w:val="double" w:sz="4" w:space="0" w:color="auto"/>
              <w:bottom w:val="double" w:sz="4" w:space="0" w:color="auto"/>
              <w:right w:val="nil"/>
            </w:tcBorders>
          </w:tcPr>
          <w:p w:rsidR="006A605D" w:rsidRPr="00743286" w:rsidRDefault="006A605D" w:rsidP="000D02E5">
            <w:pPr>
              <w:rPr>
                <w:sz w:val="20"/>
                <w:lang w:val="en-GB"/>
              </w:rPr>
            </w:pPr>
          </w:p>
        </w:tc>
        <w:tc>
          <w:tcPr>
            <w:tcW w:w="2188" w:type="dxa"/>
            <w:tcBorders>
              <w:top w:val="nil"/>
              <w:left w:val="nil"/>
              <w:bottom w:val="double" w:sz="4" w:space="0" w:color="auto"/>
              <w:right w:val="nil"/>
            </w:tcBorders>
          </w:tcPr>
          <w:p w:rsidR="006A605D" w:rsidRPr="00743286" w:rsidRDefault="006A605D" w:rsidP="000D02E5">
            <w:pPr>
              <w:rPr>
                <w:sz w:val="20"/>
                <w:lang w:val="en-GB"/>
              </w:rPr>
            </w:pPr>
          </w:p>
        </w:tc>
        <w:tc>
          <w:tcPr>
            <w:tcW w:w="619" w:type="dxa"/>
            <w:tcBorders>
              <w:top w:val="nil"/>
              <w:left w:val="nil"/>
              <w:bottom w:val="double" w:sz="4" w:space="0" w:color="auto"/>
              <w:right w:val="nil"/>
            </w:tcBorders>
          </w:tcPr>
          <w:p w:rsidR="006A605D" w:rsidRPr="00743286" w:rsidRDefault="006A605D" w:rsidP="000D02E5">
            <w:pPr>
              <w:rPr>
                <w:sz w:val="20"/>
                <w:lang w:val="en-GB"/>
              </w:rPr>
            </w:pPr>
          </w:p>
        </w:tc>
        <w:tc>
          <w:tcPr>
            <w:tcW w:w="620" w:type="dxa"/>
            <w:tcBorders>
              <w:top w:val="nil"/>
              <w:left w:val="nil"/>
              <w:bottom w:val="double" w:sz="4" w:space="0" w:color="auto"/>
              <w:right w:val="nil"/>
            </w:tcBorders>
          </w:tcPr>
          <w:p w:rsidR="006A605D" w:rsidRPr="00743286" w:rsidRDefault="006A605D" w:rsidP="000D02E5">
            <w:pPr>
              <w:rPr>
                <w:sz w:val="20"/>
                <w:lang w:val="en-GB"/>
              </w:rPr>
            </w:pPr>
          </w:p>
        </w:tc>
        <w:tc>
          <w:tcPr>
            <w:tcW w:w="620" w:type="dxa"/>
            <w:tcBorders>
              <w:top w:val="nil"/>
              <w:left w:val="nil"/>
              <w:bottom w:val="double" w:sz="4" w:space="0" w:color="auto"/>
              <w:right w:val="nil"/>
            </w:tcBorders>
          </w:tcPr>
          <w:p w:rsidR="006A605D" w:rsidRPr="00743286" w:rsidRDefault="006A605D" w:rsidP="000D02E5">
            <w:pPr>
              <w:rPr>
                <w:sz w:val="20"/>
                <w:lang w:val="en-GB"/>
              </w:rPr>
            </w:pPr>
          </w:p>
        </w:tc>
        <w:tc>
          <w:tcPr>
            <w:tcW w:w="620" w:type="dxa"/>
            <w:tcBorders>
              <w:top w:val="nil"/>
              <w:left w:val="nil"/>
              <w:bottom w:val="double" w:sz="4" w:space="0" w:color="auto"/>
              <w:right w:val="nil"/>
            </w:tcBorders>
          </w:tcPr>
          <w:p w:rsidR="006A605D" w:rsidRPr="00743286" w:rsidRDefault="006A605D" w:rsidP="000D02E5">
            <w:pPr>
              <w:rPr>
                <w:sz w:val="20"/>
                <w:lang w:val="en-GB"/>
              </w:rPr>
            </w:pPr>
          </w:p>
        </w:tc>
        <w:tc>
          <w:tcPr>
            <w:tcW w:w="620" w:type="dxa"/>
            <w:tcBorders>
              <w:top w:val="nil"/>
              <w:left w:val="nil"/>
              <w:bottom w:val="double" w:sz="4" w:space="0" w:color="auto"/>
              <w:right w:val="nil"/>
            </w:tcBorders>
          </w:tcPr>
          <w:p w:rsidR="006A605D" w:rsidRPr="00743286" w:rsidRDefault="006A605D" w:rsidP="000D02E5">
            <w:pPr>
              <w:rPr>
                <w:sz w:val="20"/>
                <w:lang w:val="en-GB"/>
              </w:rPr>
            </w:pPr>
          </w:p>
        </w:tc>
        <w:tc>
          <w:tcPr>
            <w:tcW w:w="620" w:type="dxa"/>
            <w:tcBorders>
              <w:top w:val="nil"/>
              <w:left w:val="nil"/>
              <w:bottom w:val="double" w:sz="4" w:space="0" w:color="auto"/>
              <w:right w:val="nil"/>
            </w:tcBorders>
          </w:tcPr>
          <w:p w:rsidR="006A605D" w:rsidRPr="00743286" w:rsidRDefault="006A605D" w:rsidP="000D02E5">
            <w:pPr>
              <w:rPr>
                <w:sz w:val="20"/>
                <w:lang w:val="en-GB"/>
              </w:rPr>
            </w:pPr>
          </w:p>
        </w:tc>
        <w:tc>
          <w:tcPr>
            <w:tcW w:w="620" w:type="dxa"/>
            <w:tcBorders>
              <w:top w:val="nil"/>
              <w:left w:val="nil"/>
              <w:bottom w:val="double" w:sz="4" w:space="0" w:color="auto"/>
              <w:right w:val="nil"/>
            </w:tcBorders>
          </w:tcPr>
          <w:p w:rsidR="006A605D" w:rsidRPr="00743286" w:rsidRDefault="006A605D" w:rsidP="000D02E5">
            <w:pPr>
              <w:rPr>
                <w:sz w:val="20"/>
                <w:lang w:val="en-GB"/>
              </w:rPr>
            </w:pPr>
          </w:p>
        </w:tc>
        <w:tc>
          <w:tcPr>
            <w:tcW w:w="620" w:type="dxa"/>
            <w:tcBorders>
              <w:top w:val="nil"/>
              <w:left w:val="nil"/>
              <w:bottom w:val="double" w:sz="4" w:space="0" w:color="auto"/>
              <w:right w:val="nil"/>
            </w:tcBorders>
          </w:tcPr>
          <w:p w:rsidR="006A605D" w:rsidRPr="00743286" w:rsidRDefault="006A605D" w:rsidP="000D02E5">
            <w:pPr>
              <w:rPr>
                <w:sz w:val="20"/>
                <w:lang w:val="en-GB"/>
              </w:rPr>
            </w:pPr>
          </w:p>
        </w:tc>
        <w:tc>
          <w:tcPr>
            <w:tcW w:w="620" w:type="dxa"/>
            <w:tcBorders>
              <w:top w:val="nil"/>
              <w:left w:val="nil"/>
              <w:bottom w:val="double" w:sz="4" w:space="0" w:color="auto"/>
            </w:tcBorders>
          </w:tcPr>
          <w:p w:rsidR="006A605D" w:rsidRPr="00743286" w:rsidRDefault="006A605D" w:rsidP="000D02E5">
            <w:pPr>
              <w:rPr>
                <w:sz w:val="20"/>
                <w:lang w:val="en-GB"/>
              </w:rPr>
            </w:pPr>
          </w:p>
        </w:tc>
        <w:tc>
          <w:tcPr>
            <w:tcW w:w="2480" w:type="dxa"/>
            <w:gridSpan w:val="4"/>
            <w:tcBorders>
              <w:top w:val="single" w:sz="6" w:space="0" w:color="auto"/>
              <w:left w:val="single" w:sz="6" w:space="0" w:color="auto"/>
              <w:bottom w:val="double" w:sz="4" w:space="0" w:color="auto"/>
              <w:right w:val="single" w:sz="6" w:space="0" w:color="auto"/>
            </w:tcBorders>
            <w:vAlign w:val="center"/>
          </w:tcPr>
          <w:p w:rsidR="006A605D" w:rsidRPr="00743286" w:rsidRDefault="006A605D" w:rsidP="000D02E5">
            <w:pPr>
              <w:rPr>
                <w:bCs/>
                <w:sz w:val="20"/>
                <w:lang w:val="en-GB"/>
              </w:rPr>
            </w:pPr>
            <w:r w:rsidRPr="00743286">
              <w:rPr>
                <w:bCs/>
                <w:sz w:val="20"/>
                <w:lang w:val="en-GB"/>
              </w:rPr>
              <w:t>Total</w:t>
            </w:r>
          </w:p>
        </w:tc>
        <w:tc>
          <w:tcPr>
            <w:tcW w:w="1482" w:type="dxa"/>
            <w:tcBorders>
              <w:top w:val="single" w:sz="6" w:space="0" w:color="auto"/>
              <w:left w:val="single" w:sz="6" w:space="0" w:color="auto"/>
              <w:bottom w:val="double" w:sz="4" w:space="0" w:color="auto"/>
              <w:right w:val="double" w:sz="4" w:space="0" w:color="auto"/>
            </w:tcBorders>
          </w:tcPr>
          <w:p w:rsidR="006A605D" w:rsidRPr="00743286" w:rsidRDefault="006A605D" w:rsidP="000D02E5">
            <w:pPr>
              <w:rPr>
                <w:sz w:val="20"/>
                <w:highlight w:val="yellow"/>
                <w:lang w:val="en-GB"/>
              </w:rPr>
            </w:pPr>
          </w:p>
        </w:tc>
      </w:tr>
    </w:tbl>
    <w:p w:rsidR="006A605D" w:rsidRPr="00743286" w:rsidRDefault="006A605D" w:rsidP="006A605D">
      <w:pPr>
        <w:rPr>
          <w:sz w:val="18"/>
          <w:szCs w:val="18"/>
        </w:rPr>
      </w:pPr>
    </w:p>
    <w:p w:rsidR="006A605D" w:rsidRPr="00743286" w:rsidRDefault="006A605D" w:rsidP="006A605D">
      <w:pPr>
        <w:rPr>
          <w:sz w:val="18"/>
          <w:szCs w:val="18"/>
        </w:rPr>
      </w:pPr>
      <w:r w:rsidRPr="00743286">
        <w:rPr>
          <w:sz w:val="18"/>
          <w:szCs w:val="18"/>
        </w:rPr>
        <w:t xml:space="preserve">1.   </w:t>
      </w:r>
      <w:r w:rsidRPr="00743286">
        <w:rPr>
          <w:sz w:val="18"/>
          <w:szCs w:val="18"/>
        </w:rPr>
        <w:tab/>
        <w:t>Professional Staff the input should be indicated individually; for Support Staff it should be indicated by category</w:t>
      </w:r>
    </w:p>
    <w:p w:rsidR="006A605D" w:rsidRPr="00743286" w:rsidRDefault="006A605D" w:rsidP="006A605D">
      <w:pPr>
        <w:rPr>
          <w:sz w:val="18"/>
          <w:szCs w:val="18"/>
          <w:lang w:val="en-GB"/>
        </w:rPr>
      </w:pPr>
      <w:r w:rsidRPr="00743286">
        <w:rPr>
          <w:sz w:val="18"/>
          <w:szCs w:val="18"/>
          <w:lang w:val="en-GB"/>
        </w:rPr>
        <w:t xml:space="preserve"> 2</w:t>
      </w:r>
      <w:r w:rsidRPr="00743286">
        <w:rPr>
          <w:sz w:val="18"/>
          <w:szCs w:val="18"/>
          <w:lang w:val="en-GB"/>
        </w:rPr>
        <w:tab/>
        <w:t xml:space="preserve">Months are counted from the start of the assignment.  </w:t>
      </w:r>
    </w:p>
    <w:p w:rsidR="006A605D" w:rsidRPr="00743286" w:rsidRDefault="00992E2F" w:rsidP="006A605D">
      <w:pPr>
        <w:rPr>
          <w:sz w:val="18"/>
          <w:szCs w:val="18"/>
          <w:lang w:val="en-GB"/>
        </w:rPr>
      </w:pPr>
      <w:r>
        <w:rPr>
          <w:noProof/>
          <w:sz w:val="18"/>
          <w:szCs w:val="18"/>
          <w:lang w:val="en-IN" w:eastAsia="en-IN"/>
        </w:rPr>
        <mc:AlternateContent>
          <mc:Choice Requires="wps">
            <w:drawing>
              <wp:anchor distT="0" distB="0" distL="114300" distR="114300" simplePos="0" relativeHeight="251664384" behindDoc="0" locked="0" layoutInCell="1" allowOverlap="1">
                <wp:simplePos x="0" y="0"/>
                <wp:positionH relativeFrom="column">
                  <wp:posOffset>2400300</wp:posOffset>
                </wp:positionH>
                <wp:positionV relativeFrom="paragraph">
                  <wp:posOffset>50165</wp:posOffset>
                </wp:positionV>
                <wp:extent cx="457200" cy="90170"/>
                <wp:effectExtent l="9525" t="12065" r="9525" b="12065"/>
                <wp:wrapNone/>
                <wp:docPr id="2" name="Rectangle 5" descr="Diagonali larghe verso l'al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pct5">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alt="Description: Diagonali larghe verso l'alto" style="position:absolute;margin-left:189pt;margin-top:3.95pt;width:36pt;height:7.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" fillcolor="black">
                <v:fill r:id="rId10" o:title="" type="pattern"/>
              </v:rect>
            </w:pict>
          </mc:Fallback>
        </mc:AlternateContent>
      </w:r>
      <w:r>
        <w:rPr>
          <w:noProof/>
          <w:sz w:val="18"/>
          <w:szCs w:val="18"/>
          <w:lang w:val="en-IN" w:eastAsia="en-IN"/>
        </w:rPr>
        <mc:AlternateContent>
          <mc:Choice Requires="wps">
            <w:drawing>
              <wp:anchor distT="0" distB="0" distL="114300" distR="114300" simplePos="0" relativeHeight="251663360" behindDoc="0" locked="0" layoutInCell="1" allowOverlap="1">
                <wp:simplePos x="0" y="0"/>
                <wp:positionH relativeFrom="column">
                  <wp:posOffset>114300</wp:posOffset>
                </wp:positionH>
                <wp:positionV relativeFrom="paragraph">
                  <wp:posOffset>26035</wp:posOffset>
                </wp:positionV>
                <wp:extent cx="457200" cy="90170"/>
                <wp:effectExtent l="9525" t="6985" r="9525" b="762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9pt;margin-top:2.05pt;width:36pt;height:7.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" fillcolor="black"/>
            </w:pict>
          </mc:Fallback>
        </mc:AlternateContent>
      </w:r>
      <w:r w:rsidR="006A605D" w:rsidRPr="00743286">
        <w:rPr>
          <w:sz w:val="18"/>
          <w:szCs w:val="18"/>
          <w:lang w:val="en-GB"/>
        </w:rPr>
        <w:t xml:space="preserve">                                          Full time input</w:t>
      </w:r>
      <w:r w:rsidR="006A605D" w:rsidRPr="00743286">
        <w:rPr>
          <w:sz w:val="18"/>
          <w:szCs w:val="18"/>
          <w:lang w:val="en-GB"/>
        </w:rPr>
        <w:tab/>
        <w:t xml:space="preserve">                                   </w:t>
      </w:r>
      <w:r w:rsidR="006A605D">
        <w:rPr>
          <w:sz w:val="18"/>
          <w:szCs w:val="18"/>
          <w:lang w:val="en-GB"/>
        </w:rPr>
        <w:t xml:space="preserve">                </w:t>
      </w:r>
      <w:r w:rsidR="006A605D" w:rsidRPr="00743286">
        <w:rPr>
          <w:sz w:val="18"/>
          <w:szCs w:val="18"/>
          <w:lang w:val="en-GB"/>
        </w:rPr>
        <w:t xml:space="preserve"> Part time input</w:t>
      </w:r>
    </w:p>
    <w:sectPr w:rsidR="006A605D" w:rsidRPr="00743286" w:rsidSect="008969EB">
      <w:headerReference w:type="default" r:id="rId11"/>
      <w:footerReference w:type="default" r:id="rId12"/>
      <w:pgSz w:w="16834" w:h="11909"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2D6" w:rsidRDefault="004412D6">
      <w:pPr>
        <w:spacing w:after="0" w:line="240" w:lineRule="auto"/>
      </w:pPr>
      <w:r>
        <w:separator/>
      </w:r>
    </w:p>
  </w:endnote>
  <w:endnote w:type="continuationSeparator" w:id="0">
    <w:p w:rsidR="004412D6" w:rsidRDefault="00441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2E5" w:rsidRPr="00BA52D2" w:rsidRDefault="000D02E5" w:rsidP="000D02E5">
    <w:pPr>
      <w:pStyle w:val="Footer"/>
      <w:pBdr>
        <w:top w:val="single" w:sz="4" w:space="1" w:color="auto"/>
      </w:pBdr>
      <w:rPr>
        <w:rFonts w:ascii="Arial" w:hAnsi="Arial"/>
        <w:sz w:val="20"/>
        <w:szCs w:val="20"/>
      </w:rPr>
    </w:pPr>
    <w:r>
      <w:rPr>
        <w:rFonts w:ascii="Arial" w:hAnsi="Arial"/>
        <w:sz w:val="20"/>
        <w:szCs w:val="20"/>
      </w:rPr>
      <w:t>Unique Identification Authority of India</w:t>
    </w:r>
    <w:r>
      <w:rPr>
        <w:rFonts w:ascii="Arial" w:hAnsi="Arial"/>
        <w:sz w:val="20"/>
        <w:szCs w:val="20"/>
      </w:rPr>
      <w:tab/>
    </w:r>
    <w:r>
      <w:rPr>
        <w:rFonts w:ascii="Arial" w:hAnsi="Arial"/>
        <w:sz w:val="20"/>
        <w:szCs w:val="20"/>
      </w:rPr>
      <w:tab/>
    </w:r>
    <w:r w:rsidRPr="00277621">
      <w:rPr>
        <w:rFonts w:ascii="Arial" w:hAnsi="Arial"/>
        <w:sz w:val="20"/>
        <w:szCs w:val="20"/>
      </w:rPr>
      <w:t xml:space="preserve">Page </w:t>
    </w:r>
    <w:r w:rsidRPr="00277621">
      <w:rPr>
        <w:rFonts w:ascii="Arial" w:hAnsi="Arial"/>
        <w:sz w:val="20"/>
        <w:szCs w:val="20"/>
      </w:rPr>
      <w:fldChar w:fldCharType="begin"/>
    </w:r>
    <w:r w:rsidRPr="00277621">
      <w:rPr>
        <w:rFonts w:ascii="Arial" w:hAnsi="Arial"/>
        <w:sz w:val="20"/>
        <w:szCs w:val="20"/>
      </w:rPr>
      <w:instrText xml:space="preserve"> PAGE </w:instrText>
    </w:r>
    <w:r w:rsidRPr="00277621">
      <w:rPr>
        <w:rFonts w:ascii="Arial" w:hAnsi="Arial"/>
        <w:sz w:val="20"/>
        <w:szCs w:val="20"/>
      </w:rPr>
      <w:fldChar w:fldCharType="separate"/>
    </w:r>
    <w:r w:rsidR="005243D8">
      <w:rPr>
        <w:rFonts w:ascii="Arial" w:hAnsi="Arial"/>
        <w:noProof/>
        <w:sz w:val="20"/>
        <w:szCs w:val="20"/>
      </w:rPr>
      <w:t>9</w:t>
    </w:r>
    <w:r w:rsidRPr="00277621">
      <w:rPr>
        <w:rFonts w:ascii="Arial" w:hAnsi="Arial"/>
        <w:sz w:val="20"/>
        <w:szCs w:val="20"/>
      </w:rPr>
      <w:fldChar w:fldCharType="end"/>
    </w:r>
    <w:r w:rsidRPr="00277621">
      <w:rPr>
        <w:rFonts w:ascii="Arial" w:hAnsi="Arial"/>
        <w:sz w:val="20"/>
        <w:szCs w:val="20"/>
      </w:rPr>
      <w:t xml:space="preserve"> of </w:t>
    </w:r>
    <w:r w:rsidRPr="00277621">
      <w:rPr>
        <w:rFonts w:ascii="Arial" w:hAnsi="Arial"/>
        <w:sz w:val="20"/>
        <w:szCs w:val="20"/>
      </w:rPr>
      <w:fldChar w:fldCharType="begin"/>
    </w:r>
    <w:r w:rsidRPr="00277621">
      <w:rPr>
        <w:rFonts w:ascii="Arial" w:hAnsi="Arial"/>
        <w:sz w:val="20"/>
        <w:szCs w:val="20"/>
      </w:rPr>
      <w:instrText xml:space="preserve"> NUMPAGES </w:instrText>
    </w:r>
    <w:r w:rsidRPr="00277621">
      <w:rPr>
        <w:rFonts w:ascii="Arial" w:hAnsi="Arial"/>
        <w:sz w:val="20"/>
        <w:szCs w:val="20"/>
      </w:rPr>
      <w:fldChar w:fldCharType="separate"/>
    </w:r>
    <w:r w:rsidR="005243D8">
      <w:rPr>
        <w:rFonts w:ascii="Arial" w:hAnsi="Arial"/>
        <w:noProof/>
        <w:sz w:val="20"/>
        <w:szCs w:val="20"/>
      </w:rPr>
      <w:t>10</w:t>
    </w:r>
    <w:r w:rsidRPr="00277621">
      <w:rPr>
        <w:rFonts w:ascii="Arial" w:hAnsi="Arial"/>
        <w:sz w:val="20"/>
        <w:szCs w:val="20"/>
      </w:rPr>
      <w:fldChar w:fldCharType="end"/>
    </w:r>
  </w:p>
  <w:p w:rsidR="000D02E5" w:rsidRDefault="000D02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2D6" w:rsidRDefault="004412D6">
      <w:pPr>
        <w:spacing w:after="0" w:line="240" w:lineRule="auto"/>
      </w:pPr>
      <w:r>
        <w:separator/>
      </w:r>
    </w:p>
  </w:footnote>
  <w:footnote w:type="continuationSeparator" w:id="0">
    <w:p w:rsidR="004412D6" w:rsidRDefault="004412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2E5" w:rsidRPr="00877F63" w:rsidRDefault="000D02E5" w:rsidP="000D02E5">
    <w:pPr>
      <w:pStyle w:val="Header"/>
      <w:pBdr>
        <w:bottom w:val="single" w:sz="4" w:space="1" w:color="auto"/>
      </w:pBdr>
      <w:rPr>
        <w:rFonts w:ascii="Arial" w:hAnsi="Arial" w:cs="Arial"/>
        <w:sz w:val="20"/>
        <w:szCs w:val="20"/>
      </w:rPr>
    </w:pPr>
    <w:r>
      <w:rPr>
        <w:rFonts w:ascii="Arial" w:hAnsi="Arial" w:cs="Arial"/>
        <w:sz w:val="20"/>
        <w:szCs w:val="20"/>
      </w:rPr>
      <w:t>SRDH RFP – Software Solution Provider – Volume II</w:t>
    </w:r>
  </w:p>
  <w:p w:rsidR="000D02E5" w:rsidRPr="00C65BDD" w:rsidRDefault="000D02E5" w:rsidP="000D02E5">
    <w:pPr>
      <w:pStyle w:val="Header"/>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144D"/>
    <w:multiLevelType w:val="hybridMultilevel"/>
    <w:tmpl w:val="A34E6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252B2"/>
    <w:multiLevelType w:val="multilevel"/>
    <w:tmpl w:val="855A4DB8"/>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9212D5C"/>
    <w:multiLevelType w:val="multilevel"/>
    <w:tmpl w:val="9FA6412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0906EC5"/>
    <w:multiLevelType w:val="multilevel"/>
    <w:tmpl w:val="4B58E2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1207D5D"/>
    <w:multiLevelType w:val="hybridMultilevel"/>
    <w:tmpl w:val="881644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49822D9"/>
    <w:multiLevelType w:val="hybridMultilevel"/>
    <w:tmpl w:val="0A7ED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E24889"/>
    <w:multiLevelType w:val="hybridMultilevel"/>
    <w:tmpl w:val="01FEE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D1413"/>
    <w:multiLevelType w:val="hybridMultilevel"/>
    <w:tmpl w:val="D536F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915C80"/>
    <w:multiLevelType w:val="hybridMultilevel"/>
    <w:tmpl w:val="E7A2B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183B4A"/>
    <w:multiLevelType w:val="hybridMultilevel"/>
    <w:tmpl w:val="9C4A6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F15086"/>
    <w:multiLevelType w:val="hybridMultilevel"/>
    <w:tmpl w:val="C73C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D736A4"/>
    <w:multiLevelType w:val="hybridMultilevel"/>
    <w:tmpl w:val="3F3089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56255BB"/>
    <w:multiLevelType w:val="hybridMultilevel"/>
    <w:tmpl w:val="D65635E6"/>
    <w:lvl w:ilvl="0" w:tplc="40881778">
      <w:start w:val="1"/>
      <w:numFmt w:val="lowerLetter"/>
      <w:lvlText w:val="(%1)"/>
      <w:lvlJc w:val="left"/>
      <w:pPr>
        <w:ind w:left="822" w:hanging="360"/>
      </w:pPr>
      <w:rPr>
        <w:rFonts w:hint="default"/>
        <w:i w:val="0"/>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3">
    <w:nsid w:val="667F5DC6"/>
    <w:multiLevelType w:val="hybridMultilevel"/>
    <w:tmpl w:val="963E3D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EF3696"/>
    <w:multiLevelType w:val="hybridMultilevel"/>
    <w:tmpl w:val="1C1EE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036D70"/>
    <w:multiLevelType w:val="hybridMultilevel"/>
    <w:tmpl w:val="E364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7C4A3F"/>
    <w:multiLevelType w:val="hybridMultilevel"/>
    <w:tmpl w:val="30AA66FA"/>
    <w:lvl w:ilvl="0" w:tplc="2800DA02">
      <w:start w:val="1"/>
      <w:numFmt w:val="lowerRoman"/>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43E3520"/>
    <w:multiLevelType w:val="hybridMultilevel"/>
    <w:tmpl w:val="FBC091CA"/>
    <w:lvl w:ilvl="0" w:tplc="F522DD08">
      <w:start w:val="1"/>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B640B13"/>
    <w:multiLevelType w:val="hybridMultilevel"/>
    <w:tmpl w:val="EBA82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DB36BB"/>
    <w:multiLevelType w:val="hybridMultilevel"/>
    <w:tmpl w:val="ED880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0"/>
  </w:num>
  <w:num w:numId="4">
    <w:abstractNumId w:val="14"/>
  </w:num>
  <w:num w:numId="5">
    <w:abstractNumId w:val="5"/>
  </w:num>
  <w:num w:numId="6">
    <w:abstractNumId w:val="8"/>
  </w:num>
  <w:num w:numId="7">
    <w:abstractNumId w:val="19"/>
  </w:num>
  <w:num w:numId="8">
    <w:abstractNumId w:val="4"/>
  </w:num>
  <w:num w:numId="9">
    <w:abstractNumId w:val="10"/>
  </w:num>
  <w:num w:numId="10">
    <w:abstractNumId w:val="7"/>
  </w:num>
  <w:num w:numId="11">
    <w:abstractNumId w:val="15"/>
  </w:num>
  <w:num w:numId="12">
    <w:abstractNumId w:val="6"/>
  </w:num>
  <w:num w:numId="13">
    <w:abstractNumId w:val="9"/>
  </w:num>
  <w:num w:numId="14">
    <w:abstractNumId w:val="18"/>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3"/>
  </w:num>
  <w:num w:numId="18">
    <w:abstractNumId w:val="1"/>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B2D"/>
    <w:rsid w:val="00011825"/>
    <w:rsid w:val="00031E5A"/>
    <w:rsid w:val="00035B8B"/>
    <w:rsid w:val="00054370"/>
    <w:rsid w:val="0009396B"/>
    <w:rsid w:val="000B1048"/>
    <w:rsid w:val="000D02E5"/>
    <w:rsid w:val="000E4D22"/>
    <w:rsid w:val="000F42DB"/>
    <w:rsid w:val="001140EE"/>
    <w:rsid w:val="001152CC"/>
    <w:rsid w:val="0013480D"/>
    <w:rsid w:val="00190227"/>
    <w:rsid w:val="001B14F0"/>
    <w:rsid w:val="001B6D9B"/>
    <w:rsid w:val="001C1088"/>
    <w:rsid w:val="001D4CBE"/>
    <w:rsid w:val="00210693"/>
    <w:rsid w:val="00211508"/>
    <w:rsid w:val="00224431"/>
    <w:rsid w:val="00235984"/>
    <w:rsid w:val="00255DC2"/>
    <w:rsid w:val="002A3EA3"/>
    <w:rsid w:val="002A692F"/>
    <w:rsid w:val="002D2B2D"/>
    <w:rsid w:val="002F122B"/>
    <w:rsid w:val="003272AF"/>
    <w:rsid w:val="00347D69"/>
    <w:rsid w:val="00383E4A"/>
    <w:rsid w:val="00393D3C"/>
    <w:rsid w:val="003A0C03"/>
    <w:rsid w:val="003B62F9"/>
    <w:rsid w:val="003C2ADC"/>
    <w:rsid w:val="003D2286"/>
    <w:rsid w:val="003D5CAB"/>
    <w:rsid w:val="003E737C"/>
    <w:rsid w:val="003F79CC"/>
    <w:rsid w:val="0043344F"/>
    <w:rsid w:val="004412D6"/>
    <w:rsid w:val="00470305"/>
    <w:rsid w:val="004822B6"/>
    <w:rsid w:val="00494912"/>
    <w:rsid w:val="004C3158"/>
    <w:rsid w:val="005243D8"/>
    <w:rsid w:val="0056155F"/>
    <w:rsid w:val="005C158F"/>
    <w:rsid w:val="005C4FC8"/>
    <w:rsid w:val="005E2420"/>
    <w:rsid w:val="005F0F99"/>
    <w:rsid w:val="00606F59"/>
    <w:rsid w:val="00614A3A"/>
    <w:rsid w:val="00693EF4"/>
    <w:rsid w:val="006A605D"/>
    <w:rsid w:val="006D7381"/>
    <w:rsid w:val="006E3730"/>
    <w:rsid w:val="006F2192"/>
    <w:rsid w:val="006F6E32"/>
    <w:rsid w:val="00714C41"/>
    <w:rsid w:val="00726E35"/>
    <w:rsid w:val="00727258"/>
    <w:rsid w:val="007341A6"/>
    <w:rsid w:val="00741B17"/>
    <w:rsid w:val="007E43ED"/>
    <w:rsid w:val="008033D7"/>
    <w:rsid w:val="00827059"/>
    <w:rsid w:val="008540E4"/>
    <w:rsid w:val="00890EFE"/>
    <w:rsid w:val="008969EB"/>
    <w:rsid w:val="008C1B36"/>
    <w:rsid w:val="008D1F43"/>
    <w:rsid w:val="008D7055"/>
    <w:rsid w:val="008E2E02"/>
    <w:rsid w:val="008E3A4A"/>
    <w:rsid w:val="008F3533"/>
    <w:rsid w:val="00947FAE"/>
    <w:rsid w:val="00956928"/>
    <w:rsid w:val="00981ACF"/>
    <w:rsid w:val="00992E2F"/>
    <w:rsid w:val="00995C4B"/>
    <w:rsid w:val="009B69BB"/>
    <w:rsid w:val="009C2F05"/>
    <w:rsid w:val="009D14F9"/>
    <w:rsid w:val="00A0302E"/>
    <w:rsid w:val="00A31258"/>
    <w:rsid w:val="00A368E4"/>
    <w:rsid w:val="00A6310C"/>
    <w:rsid w:val="00AA330A"/>
    <w:rsid w:val="00AC0323"/>
    <w:rsid w:val="00AD3741"/>
    <w:rsid w:val="00AE5A26"/>
    <w:rsid w:val="00AF455C"/>
    <w:rsid w:val="00B17953"/>
    <w:rsid w:val="00B72520"/>
    <w:rsid w:val="00B83518"/>
    <w:rsid w:val="00BA5D3E"/>
    <w:rsid w:val="00C10668"/>
    <w:rsid w:val="00C27BD2"/>
    <w:rsid w:val="00C3002D"/>
    <w:rsid w:val="00C4148A"/>
    <w:rsid w:val="00C52DA1"/>
    <w:rsid w:val="00C569B5"/>
    <w:rsid w:val="00C90BBF"/>
    <w:rsid w:val="00D0116D"/>
    <w:rsid w:val="00D27989"/>
    <w:rsid w:val="00D416E0"/>
    <w:rsid w:val="00D43E49"/>
    <w:rsid w:val="00D742E8"/>
    <w:rsid w:val="00DB7485"/>
    <w:rsid w:val="00DE2B2D"/>
    <w:rsid w:val="00E126BC"/>
    <w:rsid w:val="00E17E7C"/>
    <w:rsid w:val="00E23564"/>
    <w:rsid w:val="00E46B97"/>
    <w:rsid w:val="00E61DE9"/>
    <w:rsid w:val="00E77130"/>
    <w:rsid w:val="00EB6B7D"/>
    <w:rsid w:val="00EF7AAA"/>
    <w:rsid w:val="00F52C01"/>
    <w:rsid w:val="00F6195C"/>
    <w:rsid w:val="00FA6C50"/>
    <w:rsid w:val="00FF4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984"/>
  </w:style>
  <w:style w:type="paragraph" w:styleId="Heading1">
    <w:name w:val="heading 1"/>
    <w:basedOn w:val="Normal"/>
    <w:next w:val="Normal"/>
    <w:link w:val="Heading1Char"/>
    <w:qFormat/>
    <w:rsid w:val="00190227"/>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6F6E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2B2D"/>
    <w:pPr>
      <w:autoSpaceDE w:val="0"/>
      <w:autoSpaceDN w:val="0"/>
      <w:adjustRightInd w:val="0"/>
      <w:spacing w:after="0" w:line="240" w:lineRule="auto"/>
    </w:pPr>
    <w:rPr>
      <w:rFonts w:ascii="Calibri" w:hAnsi="Calibri" w:cs="Calibri"/>
      <w:color w:val="000000"/>
      <w:sz w:val="24"/>
      <w:szCs w:val="24"/>
    </w:rPr>
  </w:style>
  <w:style w:type="paragraph" w:styleId="Header">
    <w:name w:val="header"/>
    <w:aliases w:val="h,Header - HPS Document,En-tête SQ,ho,header odd,1 (not to be included in TOC),Chapter Name,ITT i,rh,RH,index,ContentsHeader,*Header"/>
    <w:basedOn w:val="Normal"/>
    <w:link w:val="HeaderChar1"/>
    <w:rsid w:val="002D2B2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uiPriority w:val="99"/>
    <w:semiHidden/>
    <w:rsid w:val="002D2B2D"/>
  </w:style>
  <w:style w:type="character" w:customStyle="1" w:styleId="HeaderChar1">
    <w:name w:val="Header Char1"/>
    <w:aliases w:val="h Char,Header - HPS Document Char,En-tête SQ Char,ho Char,header odd Char,1 (not to be included in TOC) Char,Chapter Name Char,ITT i Char,rh Char,RH Char,index Char,ContentsHeader Char,*Header Char"/>
    <w:link w:val="Header"/>
    <w:locked/>
    <w:rsid w:val="002D2B2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190227"/>
    <w:rPr>
      <w:rFonts w:ascii="Arial" w:eastAsia="Times New Roman" w:hAnsi="Arial" w:cs="Arial"/>
      <w:b/>
      <w:bCs/>
      <w:kern w:val="32"/>
      <w:sz w:val="32"/>
      <w:szCs w:val="32"/>
    </w:rPr>
  </w:style>
  <w:style w:type="paragraph" w:styleId="ListParagraph">
    <w:name w:val="List Paragraph"/>
    <w:basedOn w:val="Normal"/>
    <w:uiPriority w:val="34"/>
    <w:qFormat/>
    <w:rsid w:val="00393D3C"/>
    <w:pPr>
      <w:spacing w:after="0" w:line="240" w:lineRule="auto"/>
      <w:ind w:left="720"/>
    </w:pPr>
    <w:rPr>
      <w:rFonts w:ascii="Cambria" w:eastAsia="Times New Roman" w:hAnsi="Cambria" w:cs="Times New Roman"/>
      <w:szCs w:val="24"/>
      <w:lang w:val="en-GB"/>
    </w:rPr>
  </w:style>
  <w:style w:type="table" w:styleId="TableGrid">
    <w:name w:val="Table Grid"/>
    <w:basedOn w:val="TableNormal"/>
    <w:uiPriority w:val="59"/>
    <w:rsid w:val="008E3A4A"/>
    <w:pPr>
      <w:spacing w:after="0" w:line="240" w:lineRule="auto"/>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6B7D"/>
    <w:rPr>
      <w:sz w:val="16"/>
      <w:szCs w:val="16"/>
    </w:rPr>
  </w:style>
  <w:style w:type="paragraph" w:styleId="CommentText">
    <w:name w:val="annotation text"/>
    <w:basedOn w:val="Normal"/>
    <w:link w:val="CommentTextChar"/>
    <w:uiPriority w:val="99"/>
    <w:semiHidden/>
    <w:unhideWhenUsed/>
    <w:rsid w:val="00EB6B7D"/>
    <w:pPr>
      <w:spacing w:line="240" w:lineRule="auto"/>
    </w:pPr>
    <w:rPr>
      <w:sz w:val="20"/>
      <w:szCs w:val="20"/>
    </w:rPr>
  </w:style>
  <w:style w:type="character" w:customStyle="1" w:styleId="CommentTextChar">
    <w:name w:val="Comment Text Char"/>
    <w:basedOn w:val="DefaultParagraphFont"/>
    <w:link w:val="CommentText"/>
    <w:uiPriority w:val="99"/>
    <w:semiHidden/>
    <w:rsid w:val="00EB6B7D"/>
    <w:rPr>
      <w:sz w:val="20"/>
      <w:szCs w:val="20"/>
    </w:rPr>
  </w:style>
  <w:style w:type="paragraph" w:styleId="CommentSubject">
    <w:name w:val="annotation subject"/>
    <w:basedOn w:val="CommentText"/>
    <w:next w:val="CommentText"/>
    <w:link w:val="CommentSubjectChar"/>
    <w:uiPriority w:val="99"/>
    <w:semiHidden/>
    <w:unhideWhenUsed/>
    <w:rsid w:val="00EB6B7D"/>
    <w:rPr>
      <w:b/>
      <w:bCs/>
    </w:rPr>
  </w:style>
  <w:style w:type="character" w:customStyle="1" w:styleId="CommentSubjectChar">
    <w:name w:val="Comment Subject Char"/>
    <w:basedOn w:val="CommentTextChar"/>
    <w:link w:val="CommentSubject"/>
    <w:uiPriority w:val="99"/>
    <w:semiHidden/>
    <w:rsid w:val="00EB6B7D"/>
    <w:rPr>
      <w:b/>
      <w:bCs/>
      <w:sz w:val="20"/>
      <w:szCs w:val="20"/>
    </w:rPr>
  </w:style>
  <w:style w:type="paragraph" w:styleId="BalloonText">
    <w:name w:val="Balloon Text"/>
    <w:basedOn w:val="Normal"/>
    <w:link w:val="BalloonTextChar"/>
    <w:uiPriority w:val="99"/>
    <w:semiHidden/>
    <w:unhideWhenUsed/>
    <w:rsid w:val="00EB6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B7D"/>
    <w:rPr>
      <w:rFonts w:ascii="Tahoma" w:hAnsi="Tahoma" w:cs="Tahoma"/>
      <w:sz w:val="16"/>
      <w:szCs w:val="16"/>
    </w:rPr>
  </w:style>
  <w:style w:type="table" w:styleId="MediumGrid3-Accent5">
    <w:name w:val="Medium Grid 3 Accent 5"/>
    <w:basedOn w:val="TableNormal"/>
    <w:uiPriority w:val="69"/>
    <w:rsid w:val="0022443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Hyperlink">
    <w:name w:val="Hyperlink"/>
    <w:basedOn w:val="DefaultParagraphFont"/>
    <w:uiPriority w:val="99"/>
    <w:semiHidden/>
    <w:unhideWhenUsed/>
    <w:rsid w:val="00FF4E99"/>
    <w:rPr>
      <w:color w:val="0000FF"/>
      <w:u w:val="single"/>
    </w:rPr>
  </w:style>
  <w:style w:type="character" w:customStyle="1" w:styleId="Heading2Char">
    <w:name w:val="Heading 2 Char"/>
    <w:basedOn w:val="DefaultParagraphFont"/>
    <w:link w:val="Heading2"/>
    <w:uiPriority w:val="9"/>
    <w:semiHidden/>
    <w:rsid w:val="006F6E32"/>
    <w:rPr>
      <w:rFonts w:asciiTheme="majorHAnsi" w:eastAsiaTheme="majorEastAsia" w:hAnsiTheme="majorHAnsi" w:cstheme="majorBidi"/>
      <w:b/>
      <w:bCs/>
      <w:color w:val="4F81BD" w:themeColor="accent1"/>
      <w:sz w:val="26"/>
      <w:szCs w:val="26"/>
    </w:rPr>
  </w:style>
  <w:style w:type="paragraph" w:styleId="Footer">
    <w:name w:val="footer"/>
    <w:basedOn w:val="Normal"/>
    <w:link w:val="FooterChar1"/>
    <w:rsid w:val="00956928"/>
    <w:pPr>
      <w:tabs>
        <w:tab w:val="center" w:pos="4320"/>
        <w:tab w:val="right" w:pos="8640"/>
      </w:tabs>
      <w:spacing w:after="0" w:line="240" w:lineRule="auto"/>
      <w:jc w:val="both"/>
    </w:pPr>
    <w:rPr>
      <w:rFonts w:ascii="Calibri" w:eastAsia="Times New Roman" w:hAnsi="Calibri" w:cs="Times New Roman"/>
      <w:sz w:val="24"/>
      <w:szCs w:val="24"/>
    </w:rPr>
  </w:style>
  <w:style w:type="character" w:customStyle="1" w:styleId="FooterChar">
    <w:name w:val="Footer Char"/>
    <w:basedOn w:val="DefaultParagraphFont"/>
    <w:uiPriority w:val="99"/>
    <w:semiHidden/>
    <w:rsid w:val="00956928"/>
  </w:style>
  <w:style w:type="character" w:customStyle="1" w:styleId="FooterChar1">
    <w:name w:val="Footer Char1"/>
    <w:link w:val="Footer"/>
    <w:locked/>
    <w:rsid w:val="00956928"/>
    <w:rPr>
      <w:rFonts w:ascii="Calibri" w:eastAsia="Times New Roman" w:hAnsi="Calibri" w:cs="Times New Roman"/>
      <w:sz w:val="24"/>
      <w:szCs w:val="24"/>
    </w:rPr>
  </w:style>
  <w:style w:type="paragraph" w:styleId="NoSpacing">
    <w:name w:val="No Spacing"/>
    <w:uiPriority w:val="1"/>
    <w:qFormat/>
    <w:rsid w:val="00E17E7C"/>
    <w:pPr>
      <w:spacing w:after="0" w:line="240" w:lineRule="auto"/>
    </w:pPr>
    <w:rPr>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984"/>
  </w:style>
  <w:style w:type="paragraph" w:styleId="Heading1">
    <w:name w:val="heading 1"/>
    <w:basedOn w:val="Normal"/>
    <w:next w:val="Normal"/>
    <w:link w:val="Heading1Char"/>
    <w:qFormat/>
    <w:rsid w:val="00190227"/>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6F6E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2B2D"/>
    <w:pPr>
      <w:autoSpaceDE w:val="0"/>
      <w:autoSpaceDN w:val="0"/>
      <w:adjustRightInd w:val="0"/>
      <w:spacing w:after="0" w:line="240" w:lineRule="auto"/>
    </w:pPr>
    <w:rPr>
      <w:rFonts w:ascii="Calibri" w:hAnsi="Calibri" w:cs="Calibri"/>
      <w:color w:val="000000"/>
      <w:sz w:val="24"/>
      <w:szCs w:val="24"/>
    </w:rPr>
  </w:style>
  <w:style w:type="paragraph" w:styleId="Header">
    <w:name w:val="header"/>
    <w:aliases w:val="h,Header - HPS Document,En-tête SQ,ho,header odd,1 (not to be included in TOC),Chapter Name,ITT i,rh,RH,index,ContentsHeader,*Header"/>
    <w:basedOn w:val="Normal"/>
    <w:link w:val="HeaderChar1"/>
    <w:rsid w:val="002D2B2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uiPriority w:val="99"/>
    <w:semiHidden/>
    <w:rsid w:val="002D2B2D"/>
  </w:style>
  <w:style w:type="character" w:customStyle="1" w:styleId="HeaderChar1">
    <w:name w:val="Header Char1"/>
    <w:aliases w:val="h Char,Header - HPS Document Char,En-tête SQ Char,ho Char,header odd Char,1 (not to be included in TOC) Char,Chapter Name Char,ITT i Char,rh Char,RH Char,index Char,ContentsHeader Char,*Header Char"/>
    <w:link w:val="Header"/>
    <w:locked/>
    <w:rsid w:val="002D2B2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190227"/>
    <w:rPr>
      <w:rFonts w:ascii="Arial" w:eastAsia="Times New Roman" w:hAnsi="Arial" w:cs="Arial"/>
      <w:b/>
      <w:bCs/>
      <w:kern w:val="32"/>
      <w:sz w:val="32"/>
      <w:szCs w:val="32"/>
    </w:rPr>
  </w:style>
  <w:style w:type="paragraph" w:styleId="ListParagraph">
    <w:name w:val="List Paragraph"/>
    <w:basedOn w:val="Normal"/>
    <w:uiPriority w:val="34"/>
    <w:qFormat/>
    <w:rsid w:val="00393D3C"/>
    <w:pPr>
      <w:spacing w:after="0" w:line="240" w:lineRule="auto"/>
      <w:ind w:left="720"/>
    </w:pPr>
    <w:rPr>
      <w:rFonts w:ascii="Cambria" w:eastAsia="Times New Roman" w:hAnsi="Cambria" w:cs="Times New Roman"/>
      <w:szCs w:val="24"/>
      <w:lang w:val="en-GB"/>
    </w:rPr>
  </w:style>
  <w:style w:type="table" w:styleId="TableGrid">
    <w:name w:val="Table Grid"/>
    <w:basedOn w:val="TableNormal"/>
    <w:uiPriority w:val="59"/>
    <w:rsid w:val="008E3A4A"/>
    <w:pPr>
      <w:spacing w:after="0" w:line="240" w:lineRule="auto"/>
    </w:pPr>
    <w:rPr>
      <w:rFonts w:ascii="Times New Roman" w:eastAsia="Times New Roman" w:hAnsi="Times New Roman"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6B7D"/>
    <w:rPr>
      <w:sz w:val="16"/>
      <w:szCs w:val="16"/>
    </w:rPr>
  </w:style>
  <w:style w:type="paragraph" w:styleId="CommentText">
    <w:name w:val="annotation text"/>
    <w:basedOn w:val="Normal"/>
    <w:link w:val="CommentTextChar"/>
    <w:uiPriority w:val="99"/>
    <w:semiHidden/>
    <w:unhideWhenUsed/>
    <w:rsid w:val="00EB6B7D"/>
    <w:pPr>
      <w:spacing w:line="240" w:lineRule="auto"/>
    </w:pPr>
    <w:rPr>
      <w:sz w:val="20"/>
      <w:szCs w:val="20"/>
    </w:rPr>
  </w:style>
  <w:style w:type="character" w:customStyle="1" w:styleId="CommentTextChar">
    <w:name w:val="Comment Text Char"/>
    <w:basedOn w:val="DefaultParagraphFont"/>
    <w:link w:val="CommentText"/>
    <w:uiPriority w:val="99"/>
    <w:semiHidden/>
    <w:rsid w:val="00EB6B7D"/>
    <w:rPr>
      <w:sz w:val="20"/>
      <w:szCs w:val="20"/>
    </w:rPr>
  </w:style>
  <w:style w:type="paragraph" w:styleId="CommentSubject">
    <w:name w:val="annotation subject"/>
    <w:basedOn w:val="CommentText"/>
    <w:next w:val="CommentText"/>
    <w:link w:val="CommentSubjectChar"/>
    <w:uiPriority w:val="99"/>
    <w:semiHidden/>
    <w:unhideWhenUsed/>
    <w:rsid w:val="00EB6B7D"/>
    <w:rPr>
      <w:b/>
      <w:bCs/>
    </w:rPr>
  </w:style>
  <w:style w:type="character" w:customStyle="1" w:styleId="CommentSubjectChar">
    <w:name w:val="Comment Subject Char"/>
    <w:basedOn w:val="CommentTextChar"/>
    <w:link w:val="CommentSubject"/>
    <w:uiPriority w:val="99"/>
    <w:semiHidden/>
    <w:rsid w:val="00EB6B7D"/>
    <w:rPr>
      <w:b/>
      <w:bCs/>
      <w:sz w:val="20"/>
      <w:szCs w:val="20"/>
    </w:rPr>
  </w:style>
  <w:style w:type="paragraph" w:styleId="BalloonText">
    <w:name w:val="Balloon Text"/>
    <w:basedOn w:val="Normal"/>
    <w:link w:val="BalloonTextChar"/>
    <w:uiPriority w:val="99"/>
    <w:semiHidden/>
    <w:unhideWhenUsed/>
    <w:rsid w:val="00EB6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B7D"/>
    <w:rPr>
      <w:rFonts w:ascii="Tahoma" w:hAnsi="Tahoma" w:cs="Tahoma"/>
      <w:sz w:val="16"/>
      <w:szCs w:val="16"/>
    </w:rPr>
  </w:style>
  <w:style w:type="table" w:styleId="MediumGrid3-Accent5">
    <w:name w:val="Medium Grid 3 Accent 5"/>
    <w:basedOn w:val="TableNormal"/>
    <w:uiPriority w:val="69"/>
    <w:rsid w:val="0022443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Hyperlink">
    <w:name w:val="Hyperlink"/>
    <w:basedOn w:val="DefaultParagraphFont"/>
    <w:uiPriority w:val="99"/>
    <w:semiHidden/>
    <w:unhideWhenUsed/>
    <w:rsid w:val="00FF4E99"/>
    <w:rPr>
      <w:color w:val="0000FF"/>
      <w:u w:val="single"/>
    </w:rPr>
  </w:style>
  <w:style w:type="character" w:customStyle="1" w:styleId="Heading2Char">
    <w:name w:val="Heading 2 Char"/>
    <w:basedOn w:val="DefaultParagraphFont"/>
    <w:link w:val="Heading2"/>
    <w:uiPriority w:val="9"/>
    <w:semiHidden/>
    <w:rsid w:val="006F6E32"/>
    <w:rPr>
      <w:rFonts w:asciiTheme="majorHAnsi" w:eastAsiaTheme="majorEastAsia" w:hAnsiTheme="majorHAnsi" w:cstheme="majorBidi"/>
      <w:b/>
      <w:bCs/>
      <w:color w:val="4F81BD" w:themeColor="accent1"/>
      <w:sz w:val="26"/>
      <w:szCs w:val="26"/>
    </w:rPr>
  </w:style>
  <w:style w:type="paragraph" w:styleId="Footer">
    <w:name w:val="footer"/>
    <w:basedOn w:val="Normal"/>
    <w:link w:val="FooterChar1"/>
    <w:rsid w:val="00956928"/>
    <w:pPr>
      <w:tabs>
        <w:tab w:val="center" w:pos="4320"/>
        <w:tab w:val="right" w:pos="8640"/>
      </w:tabs>
      <w:spacing w:after="0" w:line="240" w:lineRule="auto"/>
      <w:jc w:val="both"/>
    </w:pPr>
    <w:rPr>
      <w:rFonts w:ascii="Calibri" w:eastAsia="Times New Roman" w:hAnsi="Calibri" w:cs="Times New Roman"/>
      <w:sz w:val="24"/>
      <w:szCs w:val="24"/>
    </w:rPr>
  </w:style>
  <w:style w:type="character" w:customStyle="1" w:styleId="FooterChar">
    <w:name w:val="Footer Char"/>
    <w:basedOn w:val="DefaultParagraphFont"/>
    <w:uiPriority w:val="99"/>
    <w:semiHidden/>
    <w:rsid w:val="00956928"/>
  </w:style>
  <w:style w:type="character" w:customStyle="1" w:styleId="FooterChar1">
    <w:name w:val="Footer Char1"/>
    <w:link w:val="Footer"/>
    <w:locked/>
    <w:rsid w:val="00956928"/>
    <w:rPr>
      <w:rFonts w:ascii="Calibri" w:eastAsia="Times New Roman" w:hAnsi="Calibri" w:cs="Times New Roman"/>
      <w:sz w:val="24"/>
      <w:szCs w:val="24"/>
    </w:rPr>
  </w:style>
  <w:style w:type="paragraph" w:styleId="NoSpacing">
    <w:name w:val="No Spacing"/>
    <w:uiPriority w:val="1"/>
    <w:qFormat/>
    <w:rsid w:val="00E17E7C"/>
    <w:pPr>
      <w:spacing w:after="0" w:line="240" w:lineRule="auto"/>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757955">
      <w:bodyDiv w:val="1"/>
      <w:marLeft w:val="0"/>
      <w:marRight w:val="0"/>
      <w:marTop w:val="0"/>
      <w:marBottom w:val="0"/>
      <w:divBdr>
        <w:top w:val="none" w:sz="0" w:space="0" w:color="auto"/>
        <w:left w:val="none" w:sz="0" w:space="0" w:color="auto"/>
        <w:bottom w:val="none" w:sz="0" w:space="0" w:color="auto"/>
        <w:right w:val="none" w:sz="0" w:space="0" w:color="auto"/>
      </w:divBdr>
    </w:div>
    <w:div w:id="143428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uidai.gov.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1C1A3-385F-47A8-8489-A4058DC64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10</Pages>
  <Words>1415</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 Gupta, ADG</dc:creator>
  <cp:lastModifiedBy>Sameer Gupta</cp:lastModifiedBy>
  <cp:revision>36</cp:revision>
  <cp:lastPrinted>2011-09-28T06:32:00Z</cp:lastPrinted>
  <dcterms:created xsi:type="dcterms:W3CDTF">2011-09-27T05:50:00Z</dcterms:created>
  <dcterms:modified xsi:type="dcterms:W3CDTF">2011-09-28T06:33:00Z</dcterms:modified>
</cp:coreProperties>
</file>