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24F" w:rsidRPr="00D767E0" w:rsidRDefault="008B1259" w:rsidP="00D767E0">
      <w:pPr>
        <w:spacing w:line="240" w:lineRule="auto"/>
        <w:jc w:val="center"/>
        <w:outlineLvl w:val="0"/>
        <w:rPr>
          <w:sz w:val="24"/>
          <w:szCs w:val="24"/>
          <w:u w:val="single"/>
        </w:rPr>
      </w:pPr>
      <w:proofErr w:type="gramStart"/>
      <w:r w:rsidRPr="004054F0">
        <w:rPr>
          <w:sz w:val="24"/>
          <w:szCs w:val="24"/>
          <w:u w:val="single"/>
        </w:rPr>
        <w:t>Corrigendum</w:t>
      </w:r>
      <w:r>
        <w:rPr>
          <w:sz w:val="24"/>
          <w:szCs w:val="24"/>
          <w:u w:val="single"/>
        </w:rPr>
        <w:t>-</w:t>
      </w:r>
      <w:r w:rsidR="00E72A37">
        <w:rPr>
          <w:sz w:val="24"/>
          <w:szCs w:val="24"/>
          <w:u w:val="single"/>
        </w:rPr>
        <w:t>3</w:t>
      </w:r>
      <w:r w:rsidRPr="004054F0">
        <w:rPr>
          <w:sz w:val="24"/>
          <w:szCs w:val="24"/>
          <w:u w:val="single"/>
        </w:rPr>
        <w:t xml:space="preserve"> to RFP No.</w:t>
      </w:r>
      <w:proofErr w:type="gramEnd"/>
      <w:r w:rsidRPr="004054F0">
        <w:rPr>
          <w:sz w:val="24"/>
          <w:szCs w:val="24"/>
          <w:u w:val="single"/>
        </w:rPr>
        <w:t xml:space="preserve"> T-11014/23/2017-Tech/Vol-1</w:t>
      </w:r>
    </w:p>
    <w:tbl>
      <w:tblPr>
        <w:tblW w:w="10817" w:type="dxa"/>
        <w:jc w:val="center"/>
        <w:tblInd w:w="-1985" w:type="dxa"/>
        <w:tblLayout w:type="fixed"/>
        <w:tblLook w:val="04A0"/>
      </w:tblPr>
      <w:tblGrid>
        <w:gridCol w:w="662"/>
        <w:gridCol w:w="1083"/>
        <w:gridCol w:w="850"/>
        <w:gridCol w:w="3686"/>
        <w:gridCol w:w="4536"/>
      </w:tblGrid>
      <w:tr w:rsidR="00ED5F3F" w:rsidRPr="008B1259" w:rsidTr="00365FFA">
        <w:trPr>
          <w:trHeight w:val="841"/>
          <w:tblHeader/>
          <w:jc w:val="center"/>
        </w:trPr>
        <w:tc>
          <w:tcPr>
            <w:tcW w:w="6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1259" w:rsidRPr="008B1259" w:rsidRDefault="008B1259" w:rsidP="008B1259">
            <w:pPr>
              <w:jc w:val="center"/>
              <w:rPr>
                <w:bCs/>
                <w:i/>
                <w:iCs/>
              </w:rPr>
            </w:pPr>
            <w:r w:rsidRPr="008B1259">
              <w:rPr>
                <w:bCs/>
              </w:rPr>
              <w:t>S. No.</w:t>
            </w:r>
          </w:p>
        </w:tc>
        <w:tc>
          <w:tcPr>
            <w:tcW w:w="1083" w:type="dxa"/>
            <w:tcBorders>
              <w:top w:val="single" w:sz="4" w:space="0" w:color="auto"/>
              <w:left w:val="nil"/>
              <w:bottom w:val="single" w:sz="4" w:space="0" w:color="auto"/>
              <w:right w:val="single" w:sz="4" w:space="0" w:color="auto"/>
            </w:tcBorders>
            <w:shd w:val="clear" w:color="auto" w:fill="auto"/>
            <w:vAlign w:val="center"/>
            <w:hideMark/>
          </w:tcPr>
          <w:p w:rsidR="008B1259" w:rsidRPr="008B1259" w:rsidRDefault="008B1259" w:rsidP="008B1259">
            <w:pPr>
              <w:jc w:val="center"/>
              <w:rPr>
                <w:bCs/>
                <w:i/>
                <w:iCs/>
              </w:rPr>
            </w:pPr>
            <w:r w:rsidRPr="008B1259">
              <w:rPr>
                <w:bCs/>
                <w:i/>
                <w:iCs/>
              </w:rPr>
              <w:t>Clause No.</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B1259" w:rsidRPr="008B1259" w:rsidRDefault="008B1259" w:rsidP="008B1259">
            <w:pPr>
              <w:jc w:val="center"/>
              <w:rPr>
                <w:bCs/>
                <w:i/>
                <w:iCs/>
              </w:rPr>
            </w:pPr>
            <w:r w:rsidRPr="008B1259">
              <w:rPr>
                <w:bCs/>
              </w:rPr>
              <w:t>RFP Pg. No.</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rsidR="008B1259" w:rsidRPr="008B1259" w:rsidRDefault="008B1259" w:rsidP="008B1259">
            <w:pPr>
              <w:jc w:val="center"/>
              <w:rPr>
                <w:bCs/>
                <w:i/>
                <w:iCs/>
              </w:rPr>
            </w:pPr>
            <w:r w:rsidRPr="008B1259">
              <w:rPr>
                <w:bCs/>
                <w:i/>
                <w:iCs/>
              </w:rPr>
              <w:t>Clause as per RFP</w:t>
            </w:r>
          </w:p>
        </w:tc>
        <w:tc>
          <w:tcPr>
            <w:tcW w:w="4536" w:type="dxa"/>
            <w:tcBorders>
              <w:top w:val="single" w:sz="4" w:space="0" w:color="auto"/>
              <w:left w:val="nil"/>
              <w:bottom w:val="single" w:sz="4" w:space="0" w:color="auto"/>
              <w:right w:val="single" w:sz="4" w:space="0" w:color="auto"/>
            </w:tcBorders>
            <w:shd w:val="clear" w:color="auto" w:fill="auto"/>
            <w:hideMark/>
          </w:tcPr>
          <w:p w:rsidR="008B1259" w:rsidRPr="008B1259" w:rsidRDefault="008B1259" w:rsidP="008B1259">
            <w:pPr>
              <w:jc w:val="center"/>
              <w:rPr>
                <w:bCs/>
                <w:i/>
                <w:iCs/>
              </w:rPr>
            </w:pPr>
          </w:p>
          <w:p w:rsidR="008B1259" w:rsidRPr="008B1259" w:rsidRDefault="008B1259" w:rsidP="008B1259">
            <w:pPr>
              <w:jc w:val="center"/>
              <w:rPr>
                <w:bCs/>
                <w:i/>
                <w:iCs/>
              </w:rPr>
            </w:pPr>
            <w:r w:rsidRPr="008B1259">
              <w:rPr>
                <w:bCs/>
                <w:i/>
                <w:iCs/>
              </w:rPr>
              <w:t>Modified</w:t>
            </w:r>
            <w:r w:rsidRPr="008B1259">
              <w:rPr>
                <w:bCs/>
              </w:rPr>
              <w:t xml:space="preserve"> Clause</w:t>
            </w:r>
          </w:p>
        </w:tc>
      </w:tr>
      <w:tr w:rsidR="00ED5F3F" w:rsidRPr="008B1259" w:rsidTr="00365FFA">
        <w:trPr>
          <w:trHeight w:val="2464"/>
          <w:jc w:val="center"/>
        </w:trPr>
        <w:tc>
          <w:tcPr>
            <w:tcW w:w="662" w:type="dxa"/>
            <w:tcBorders>
              <w:top w:val="nil"/>
              <w:left w:val="single" w:sz="4" w:space="0" w:color="auto"/>
              <w:bottom w:val="single" w:sz="4" w:space="0" w:color="auto"/>
              <w:right w:val="single" w:sz="4" w:space="0" w:color="auto"/>
            </w:tcBorders>
            <w:shd w:val="clear" w:color="auto" w:fill="auto"/>
            <w:vAlign w:val="center"/>
            <w:hideMark/>
          </w:tcPr>
          <w:p w:rsidR="008B1259" w:rsidRPr="008B1259" w:rsidRDefault="008B1259" w:rsidP="008B1259">
            <w:pPr>
              <w:jc w:val="center"/>
            </w:pPr>
            <w:r w:rsidRPr="008B1259">
              <w:t>1</w:t>
            </w:r>
          </w:p>
        </w:tc>
        <w:tc>
          <w:tcPr>
            <w:tcW w:w="1083" w:type="dxa"/>
            <w:tcBorders>
              <w:top w:val="nil"/>
              <w:left w:val="nil"/>
              <w:bottom w:val="single" w:sz="4" w:space="0" w:color="auto"/>
              <w:right w:val="single" w:sz="4" w:space="0" w:color="auto"/>
            </w:tcBorders>
            <w:shd w:val="clear" w:color="auto" w:fill="auto"/>
            <w:vAlign w:val="center"/>
            <w:hideMark/>
          </w:tcPr>
          <w:p w:rsidR="008B1259" w:rsidRPr="008B1259" w:rsidRDefault="008B1259" w:rsidP="008B1259">
            <w:pPr>
              <w:jc w:val="center"/>
            </w:pPr>
            <w:r>
              <w:t>1.2.2</w:t>
            </w:r>
          </w:p>
        </w:tc>
        <w:tc>
          <w:tcPr>
            <w:tcW w:w="850" w:type="dxa"/>
            <w:tcBorders>
              <w:top w:val="nil"/>
              <w:left w:val="nil"/>
              <w:bottom w:val="single" w:sz="4" w:space="0" w:color="auto"/>
              <w:right w:val="single" w:sz="4" w:space="0" w:color="auto"/>
            </w:tcBorders>
            <w:shd w:val="clear" w:color="auto" w:fill="auto"/>
            <w:vAlign w:val="center"/>
            <w:hideMark/>
          </w:tcPr>
          <w:p w:rsidR="008B1259" w:rsidRPr="008B1259" w:rsidRDefault="00080CD8" w:rsidP="008B1259">
            <w:pPr>
              <w:jc w:val="center"/>
            </w:pPr>
            <w:r>
              <w:t>1</w:t>
            </w:r>
            <w:r w:rsidR="008B1259" w:rsidRPr="008B1259">
              <w:t>3</w:t>
            </w:r>
          </w:p>
        </w:tc>
        <w:tc>
          <w:tcPr>
            <w:tcW w:w="3686" w:type="dxa"/>
            <w:tcBorders>
              <w:top w:val="nil"/>
              <w:left w:val="nil"/>
              <w:bottom w:val="single" w:sz="4" w:space="0" w:color="auto"/>
              <w:right w:val="single" w:sz="4" w:space="0" w:color="auto"/>
            </w:tcBorders>
            <w:shd w:val="clear" w:color="auto" w:fill="auto"/>
            <w:hideMark/>
          </w:tcPr>
          <w:tbl>
            <w:tblPr>
              <w:tblStyle w:val="TableGrid"/>
              <w:tblW w:w="3431" w:type="dxa"/>
              <w:tblLayout w:type="fixed"/>
              <w:tblLook w:val="04A0"/>
            </w:tblPr>
            <w:tblGrid>
              <w:gridCol w:w="1271"/>
              <w:gridCol w:w="2160"/>
            </w:tblGrid>
            <w:tr w:rsidR="00B44839" w:rsidRPr="00E72A37" w:rsidTr="00365FFA">
              <w:trPr>
                <w:trHeight w:val="359"/>
                <w:tblHeader/>
              </w:trPr>
              <w:tc>
                <w:tcPr>
                  <w:tcW w:w="1271" w:type="dxa"/>
                  <w:shd w:val="clear" w:color="auto" w:fill="002060"/>
                  <w:tcMar>
                    <w:left w:w="108" w:type="dxa"/>
                  </w:tcMar>
                  <w:vAlign w:val="center"/>
                </w:tcPr>
                <w:p w:rsidR="00B44839" w:rsidRPr="00E72A37" w:rsidRDefault="00B44839" w:rsidP="00915933">
                  <w:pPr>
                    <w:spacing w:before="120" w:line="360" w:lineRule="auto"/>
                    <w:jc w:val="center"/>
                    <w:rPr>
                      <w:rFonts w:ascii="Georgia" w:hAnsi="Georgia" w:cstheme="minorHAnsi"/>
                      <w:b/>
                    </w:rPr>
                  </w:pPr>
                  <w:r w:rsidRPr="00E72A37">
                    <w:rPr>
                      <w:rFonts w:ascii="Georgia" w:hAnsi="Georgia" w:cstheme="minorHAnsi"/>
                      <w:b/>
                    </w:rPr>
                    <w:t>Area</w:t>
                  </w:r>
                </w:p>
              </w:tc>
              <w:tc>
                <w:tcPr>
                  <w:tcW w:w="2160" w:type="dxa"/>
                  <w:shd w:val="clear" w:color="auto" w:fill="002060"/>
                  <w:tcMar>
                    <w:left w:w="108" w:type="dxa"/>
                  </w:tcMar>
                  <w:vAlign w:val="center"/>
                </w:tcPr>
                <w:p w:rsidR="00B44839" w:rsidRPr="00E72A37" w:rsidRDefault="00B44839" w:rsidP="00915933">
                  <w:pPr>
                    <w:spacing w:before="120" w:line="360" w:lineRule="auto"/>
                    <w:jc w:val="center"/>
                    <w:rPr>
                      <w:rFonts w:ascii="Georgia" w:hAnsi="Georgia" w:cstheme="minorHAnsi"/>
                      <w:b/>
                    </w:rPr>
                  </w:pPr>
                  <w:r w:rsidRPr="00E72A37">
                    <w:rPr>
                      <w:rFonts w:ascii="Georgia" w:hAnsi="Georgia" w:cstheme="minorHAnsi"/>
                      <w:b/>
                    </w:rPr>
                    <w:t>Description</w:t>
                  </w:r>
                </w:p>
              </w:tc>
            </w:tr>
            <w:tr w:rsidR="00B44839" w:rsidRPr="00E72A37" w:rsidTr="00365FFA">
              <w:trPr>
                <w:trHeight w:val="1074"/>
              </w:trPr>
              <w:tc>
                <w:tcPr>
                  <w:tcW w:w="1271" w:type="dxa"/>
                  <w:shd w:val="clear" w:color="auto" w:fill="auto"/>
                  <w:tcMar>
                    <w:left w:w="108" w:type="dxa"/>
                  </w:tcMar>
                  <w:vAlign w:val="center"/>
                </w:tcPr>
                <w:p w:rsidR="00B44839" w:rsidRPr="00E72A37" w:rsidRDefault="00B44839" w:rsidP="00915933">
                  <w:pPr>
                    <w:spacing w:before="120" w:line="360" w:lineRule="auto"/>
                    <w:rPr>
                      <w:rFonts w:ascii="Georgia" w:hAnsi="Georgia" w:cs="Arial"/>
                    </w:rPr>
                  </w:pPr>
                  <w:r w:rsidRPr="00E72A37">
                    <w:rPr>
                      <w:rFonts w:ascii="Georgia" w:hAnsi="Georgia" w:cs="Arial"/>
                    </w:rPr>
                    <w:t>Method of Selection</w:t>
                  </w:r>
                </w:p>
              </w:tc>
              <w:tc>
                <w:tcPr>
                  <w:tcW w:w="2160" w:type="dxa"/>
                  <w:shd w:val="clear" w:color="auto" w:fill="auto"/>
                  <w:tcMar>
                    <w:left w:w="108" w:type="dxa"/>
                  </w:tcMar>
                  <w:vAlign w:val="center"/>
                </w:tcPr>
                <w:p w:rsidR="00B44839" w:rsidRPr="00E72A37" w:rsidRDefault="00B44839" w:rsidP="00915933">
                  <w:pPr>
                    <w:spacing w:before="120" w:line="360" w:lineRule="auto"/>
                    <w:rPr>
                      <w:rFonts w:ascii="Georgia" w:hAnsi="Georgia" w:cs="Arial"/>
                    </w:rPr>
                  </w:pPr>
                  <w:r w:rsidRPr="00E72A37">
                    <w:rPr>
                      <w:rFonts w:ascii="Georgia" w:hAnsi="Georgia" w:cs="Arial"/>
                    </w:rPr>
                    <w:t>L 1 based upon commercial bid</w:t>
                  </w:r>
                </w:p>
                <w:p w:rsidR="00B44839" w:rsidRPr="00E72A37" w:rsidRDefault="00B44839" w:rsidP="00915933">
                  <w:pPr>
                    <w:spacing w:before="120" w:line="360" w:lineRule="auto"/>
                    <w:rPr>
                      <w:rFonts w:ascii="Georgia" w:hAnsi="Georgia" w:cs="Arial"/>
                    </w:rPr>
                  </w:pPr>
                </w:p>
              </w:tc>
            </w:tr>
          </w:tbl>
          <w:p w:rsidR="008B1259" w:rsidRPr="008B1259" w:rsidRDefault="008B1259" w:rsidP="008B1259">
            <w:pPr>
              <w:jc w:val="center"/>
            </w:pPr>
          </w:p>
        </w:tc>
        <w:tc>
          <w:tcPr>
            <w:tcW w:w="4536" w:type="dxa"/>
            <w:tcBorders>
              <w:top w:val="nil"/>
              <w:left w:val="nil"/>
              <w:bottom w:val="single" w:sz="4" w:space="0" w:color="auto"/>
              <w:right w:val="single" w:sz="4" w:space="0" w:color="auto"/>
            </w:tcBorders>
            <w:shd w:val="clear" w:color="auto" w:fill="auto"/>
            <w:hideMark/>
          </w:tcPr>
          <w:tbl>
            <w:tblPr>
              <w:tblStyle w:val="TableGrid"/>
              <w:tblW w:w="4281" w:type="dxa"/>
              <w:tblLayout w:type="fixed"/>
              <w:tblLook w:val="04A0"/>
            </w:tblPr>
            <w:tblGrid>
              <w:gridCol w:w="1883"/>
              <w:gridCol w:w="2398"/>
            </w:tblGrid>
            <w:tr w:rsidR="00ED5F3F" w:rsidRPr="00E72A37" w:rsidTr="00ED5F3F">
              <w:trPr>
                <w:trHeight w:val="359"/>
                <w:tblHeader/>
              </w:trPr>
              <w:tc>
                <w:tcPr>
                  <w:tcW w:w="1883" w:type="dxa"/>
                  <w:shd w:val="clear" w:color="auto" w:fill="002060"/>
                  <w:tcMar>
                    <w:left w:w="108" w:type="dxa"/>
                  </w:tcMar>
                  <w:vAlign w:val="center"/>
                </w:tcPr>
                <w:p w:rsidR="00ED5F3F" w:rsidRPr="00E72A37" w:rsidRDefault="00ED5F3F" w:rsidP="00915933">
                  <w:pPr>
                    <w:spacing w:before="120" w:line="360" w:lineRule="auto"/>
                    <w:jc w:val="center"/>
                    <w:rPr>
                      <w:rFonts w:ascii="Georgia" w:hAnsi="Georgia" w:cstheme="minorHAnsi"/>
                      <w:b/>
                    </w:rPr>
                  </w:pPr>
                  <w:r w:rsidRPr="00E72A37">
                    <w:rPr>
                      <w:rFonts w:ascii="Georgia" w:hAnsi="Georgia" w:cstheme="minorHAnsi"/>
                      <w:b/>
                    </w:rPr>
                    <w:t>Area</w:t>
                  </w:r>
                </w:p>
              </w:tc>
              <w:tc>
                <w:tcPr>
                  <w:tcW w:w="2398" w:type="dxa"/>
                  <w:shd w:val="clear" w:color="auto" w:fill="002060"/>
                  <w:tcMar>
                    <w:left w:w="108" w:type="dxa"/>
                  </w:tcMar>
                  <w:vAlign w:val="center"/>
                </w:tcPr>
                <w:p w:rsidR="00ED5F3F" w:rsidRPr="00E72A37" w:rsidRDefault="00ED5F3F" w:rsidP="00915933">
                  <w:pPr>
                    <w:spacing w:before="120" w:line="360" w:lineRule="auto"/>
                    <w:jc w:val="center"/>
                    <w:rPr>
                      <w:rFonts w:ascii="Georgia" w:hAnsi="Georgia" w:cstheme="minorHAnsi"/>
                      <w:b/>
                    </w:rPr>
                  </w:pPr>
                  <w:r w:rsidRPr="00E72A37">
                    <w:rPr>
                      <w:rFonts w:ascii="Georgia" w:hAnsi="Georgia" w:cstheme="minorHAnsi"/>
                      <w:b/>
                    </w:rPr>
                    <w:t>Description</w:t>
                  </w:r>
                </w:p>
              </w:tc>
            </w:tr>
            <w:tr w:rsidR="00ED5F3F" w:rsidRPr="00E72A37" w:rsidTr="00ED5F3F">
              <w:trPr>
                <w:trHeight w:val="1074"/>
              </w:trPr>
              <w:tc>
                <w:tcPr>
                  <w:tcW w:w="1883" w:type="dxa"/>
                  <w:shd w:val="clear" w:color="auto" w:fill="auto"/>
                  <w:tcMar>
                    <w:left w:w="108" w:type="dxa"/>
                  </w:tcMar>
                  <w:vAlign w:val="center"/>
                </w:tcPr>
                <w:p w:rsidR="00ED5F3F" w:rsidRPr="00E72A37" w:rsidRDefault="00ED5F3F" w:rsidP="00915933">
                  <w:pPr>
                    <w:spacing w:before="120" w:line="360" w:lineRule="auto"/>
                    <w:rPr>
                      <w:rFonts w:ascii="Georgia" w:hAnsi="Georgia" w:cs="Arial"/>
                    </w:rPr>
                  </w:pPr>
                  <w:r w:rsidRPr="00E72A37">
                    <w:rPr>
                      <w:rFonts w:ascii="Georgia" w:hAnsi="Georgia" w:cs="Arial"/>
                    </w:rPr>
                    <w:t>Method of Selection</w:t>
                  </w:r>
                </w:p>
              </w:tc>
              <w:tc>
                <w:tcPr>
                  <w:tcW w:w="2398" w:type="dxa"/>
                  <w:shd w:val="clear" w:color="auto" w:fill="auto"/>
                  <w:tcMar>
                    <w:left w:w="108" w:type="dxa"/>
                  </w:tcMar>
                  <w:vAlign w:val="center"/>
                </w:tcPr>
                <w:p w:rsidR="00ED5F3F" w:rsidRPr="00E72A37" w:rsidRDefault="00ED5F3F" w:rsidP="00ED5F3F">
                  <w:pPr>
                    <w:spacing w:before="120" w:line="360" w:lineRule="auto"/>
                    <w:rPr>
                      <w:rFonts w:ascii="Georgia" w:hAnsi="Georgia" w:cs="Arial"/>
                      <w:i/>
                      <w:iCs/>
                      <w:lang w:bidi="en-US"/>
                    </w:rPr>
                  </w:pPr>
                  <w:r w:rsidRPr="00E72A37">
                    <w:rPr>
                      <w:rFonts w:ascii="Georgia" w:hAnsi="Georgia" w:cs="Arial"/>
                      <w:i/>
                      <w:iCs/>
                      <w:lang w:bidi="en-US"/>
                    </w:rPr>
                    <w:t>L1 based upon Overall Net Present Value (NPV).</w:t>
                  </w:r>
                </w:p>
                <w:p w:rsidR="00ED5F3F" w:rsidRPr="00E72A37" w:rsidRDefault="00ED5F3F" w:rsidP="00ED5F3F">
                  <w:pPr>
                    <w:spacing w:before="120" w:line="360" w:lineRule="auto"/>
                    <w:rPr>
                      <w:rFonts w:ascii="Georgia" w:hAnsi="Georgia" w:cs="Arial"/>
                    </w:rPr>
                  </w:pPr>
                  <w:r w:rsidRPr="00E72A37">
                    <w:rPr>
                      <w:rFonts w:ascii="Georgia" w:hAnsi="Georgia" w:cs="Arial"/>
                      <w:i/>
                      <w:iCs/>
                      <w:lang w:bidi="en-US"/>
                    </w:rPr>
                    <w:t xml:space="preserve">(However total cost of the project is on </w:t>
                  </w:r>
                  <w:proofErr w:type="spellStart"/>
                  <w:r w:rsidRPr="00E72A37">
                    <w:rPr>
                      <w:rFonts w:ascii="Georgia" w:hAnsi="Georgia" w:cs="Arial"/>
                      <w:i/>
                      <w:iCs/>
                      <w:lang w:bidi="en-US"/>
                    </w:rPr>
                    <w:t>actuals</w:t>
                  </w:r>
                  <w:proofErr w:type="spellEnd"/>
                  <w:r w:rsidRPr="00E72A37">
                    <w:rPr>
                      <w:rFonts w:ascii="Georgia" w:hAnsi="Georgia" w:cs="Arial"/>
                      <w:i/>
                      <w:iCs/>
                      <w:lang w:bidi="en-US"/>
                    </w:rPr>
                    <w:t xml:space="preserve"> mentioned in Annexure 4.2.2 &amp; 4.2.3).</w:t>
                  </w:r>
                </w:p>
              </w:tc>
            </w:tr>
          </w:tbl>
          <w:p w:rsidR="00FC7AAC" w:rsidRPr="008B1259" w:rsidRDefault="00FC7AAC" w:rsidP="00ED5F3F">
            <w:r>
              <w:t>(Changes made only in row 1 of clause 1.2.2)</w:t>
            </w:r>
          </w:p>
        </w:tc>
      </w:tr>
      <w:tr w:rsidR="00ED5F3F" w:rsidRPr="008B1259" w:rsidTr="00365FFA">
        <w:trPr>
          <w:trHeight w:val="1000"/>
          <w:jc w:val="center"/>
        </w:trPr>
        <w:tc>
          <w:tcPr>
            <w:tcW w:w="662" w:type="dxa"/>
            <w:tcBorders>
              <w:top w:val="nil"/>
              <w:left w:val="single" w:sz="4" w:space="0" w:color="auto"/>
              <w:bottom w:val="single" w:sz="4" w:space="0" w:color="auto"/>
              <w:right w:val="single" w:sz="4" w:space="0" w:color="auto"/>
            </w:tcBorders>
            <w:shd w:val="clear" w:color="auto" w:fill="auto"/>
            <w:vAlign w:val="center"/>
            <w:hideMark/>
          </w:tcPr>
          <w:p w:rsidR="00ED5F3F" w:rsidRDefault="00ED5F3F" w:rsidP="008B1259">
            <w:pPr>
              <w:jc w:val="center"/>
            </w:pPr>
            <w:r>
              <w:t>2</w:t>
            </w:r>
          </w:p>
        </w:tc>
        <w:tc>
          <w:tcPr>
            <w:tcW w:w="1083" w:type="dxa"/>
            <w:tcBorders>
              <w:top w:val="nil"/>
              <w:left w:val="nil"/>
              <w:bottom w:val="single" w:sz="4" w:space="0" w:color="auto"/>
              <w:right w:val="single" w:sz="4" w:space="0" w:color="auto"/>
            </w:tcBorders>
            <w:shd w:val="clear" w:color="auto" w:fill="auto"/>
            <w:vAlign w:val="center"/>
            <w:hideMark/>
          </w:tcPr>
          <w:p w:rsidR="00ED5F3F" w:rsidRDefault="00ED5F3F" w:rsidP="008B1259">
            <w:pPr>
              <w:jc w:val="center"/>
            </w:pPr>
            <w:r>
              <w:t>1.3.2</w:t>
            </w:r>
            <w:r w:rsidR="00634A79">
              <w:t xml:space="preserve"> (iv)</w:t>
            </w:r>
          </w:p>
        </w:tc>
        <w:tc>
          <w:tcPr>
            <w:tcW w:w="850" w:type="dxa"/>
            <w:tcBorders>
              <w:top w:val="nil"/>
              <w:left w:val="nil"/>
              <w:bottom w:val="single" w:sz="4" w:space="0" w:color="auto"/>
              <w:right w:val="single" w:sz="4" w:space="0" w:color="auto"/>
            </w:tcBorders>
            <w:shd w:val="clear" w:color="auto" w:fill="auto"/>
            <w:vAlign w:val="center"/>
            <w:hideMark/>
          </w:tcPr>
          <w:p w:rsidR="00ED5F3F" w:rsidRDefault="00ED5F3F" w:rsidP="008B1259">
            <w:pPr>
              <w:jc w:val="center"/>
            </w:pPr>
            <w:r>
              <w:t>15</w:t>
            </w:r>
          </w:p>
        </w:tc>
        <w:tc>
          <w:tcPr>
            <w:tcW w:w="3686" w:type="dxa"/>
            <w:tcBorders>
              <w:top w:val="nil"/>
              <w:left w:val="nil"/>
              <w:bottom w:val="single" w:sz="4" w:space="0" w:color="auto"/>
              <w:right w:val="single" w:sz="4" w:space="0" w:color="auto"/>
            </w:tcBorders>
            <w:shd w:val="clear" w:color="auto" w:fill="auto"/>
            <w:hideMark/>
          </w:tcPr>
          <w:p w:rsidR="00ED5F3F" w:rsidRPr="00ED5F3F" w:rsidRDefault="00634A79" w:rsidP="00ED5F3F">
            <w:pPr>
              <w:rPr>
                <w:lang w:val="en-US"/>
              </w:rPr>
            </w:pPr>
            <w:r>
              <w:rPr>
                <w:lang w:val="en-US"/>
              </w:rPr>
              <w:t>-</w:t>
            </w:r>
          </w:p>
        </w:tc>
        <w:tc>
          <w:tcPr>
            <w:tcW w:w="4536" w:type="dxa"/>
            <w:tcBorders>
              <w:top w:val="nil"/>
              <w:left w:val="nil"/>
              <w:bottom w:val="single" w:sz="4" w:space="0" w:color="auto"/>
              <w:right w:val="single" w:sz="4" w:space="0" w:color="auto"/>
            </w:tcBorders>
            <w:shd w:val="clear" w:color="auto" w:fill="auto"/>
            <w:hideMark/>
          </w:tcPr>
          <w:p w:rsidR="00ED5F3F" w:rsidRPr="00ED5F3F" w:rsidRDefault="00634A79" w:rsidP="00ED5F3F">
            <w:pPr>
              <w:rPr>
                <w:lang w:val="en-US"/>
              </w:rPr>
            </w:pPr>
            <w:r w:rsidRPr="00781A73">
              <w:rPr>
                <w:rFonts w:ascii="Georgia" w:hAnsi="Georgia" w:cs="Arial"/>
                <w:szCs w:val="24"/>
              </w:rPr>
              <w:t>Un</w:t>
            </w:r>
            <w:r>
              <w:rPr>
                <w:rFonts w:ascii="Georgia" w:hAnsi="Georgia" w:cs="Arial"/>
                <w:szCs w:val="24"/>
              </w:rPr>
              <w:t>-</w:t>
            </w:r>
            <w:r w:rsidRPr="00781A73">
              <w:rPr>
                <w:rFonts w:ascii="Georgia" w:hAnsi="Georgia" w:cs="Arial"/>
                <w:szCs w:val="24"/>
              </w:rPr>
              <w:t xml:space="preserve">priced </w:t>
            </w:r>
            <w:proofErr w:type="spellStart"/>
            <w:r w:rsidRPr="00781A73">
              <w:rPr>
                <w:rFonts w:ascii="Georgia" w:hAnsi="Georgia" w:cs="Arial"/>
                <w:szCs w:val="24"/>
              </w:rPr>
              <w:t>BoQ</w:t>
            </w:r>
            <w:proofErr w:type="spellEnd"/>
            <w:r w:rsidRPr="00781A73">
              <w:rPr>
                <w:rFonts w:ascii="Georgia" w:hAnsi="Georgia" w:cs="Arial"/>
                <w:szCs w:val="24"/>
              </w:rPr>
              <w:t xml:space="preserve"> with Model and Make ( format as mentioned in BoQ_xxxx.xls but without any cost mentioned)</w:t>
            </w:r>
          </w:p>
        </w:tc>
      </w:tr>
      <w:tr w:rsidR="00ED5F3F" w:rsidRPr="008B1259" w:rsidTr="00365FFA">
        <w:trPr>
          <w:trHeight w:val="1679"/>
          <w:jc w:val="center"/>
        </w:trPr>
        <w:tc>
          <w:tcPr>
            <w:tcW w:w="662" w:type="dxa"/>
            <w:tcBorders>
              <w:top w:val="nil"/>
              <w:left w:val="single" w:sz="4" w:space="0" w:color="auto"/>
              <w:bottom w:val="single" w:sz="4" w:space="0" w:color="auto"/>
              <w:right w:val="single" w:sz="4" w:space="0" w:color="auto"/>
            </w:tcBorders>
            <w:shd w:val="clear" w:color="auto" w:fill="auto"/>
            <w:vAlign w:val="center"/>
            <w:hideMark/>
          </w:tcPr>
          <w:p w:rsidR="00ED5F3F" w:rsidRPr="008B1259" w:rsidRDefault="00767E7B" w:rsidP="008B1259">
            <w:pPr>
              <w:jc w:val="center"/>
            </w:pPr>
            <w:r>
              <w:t>3</w:t>
            </w:r>
          </w:p>
        </w:tc>
        <w:tc>
          <w:tcPr>
            <w:tcW w:w="1083" w:type="dxa"/>
            <w:tcBorders>
              <w:top w:val="nil"/>
              <w:left w:val="nil"/>
              <w:bottom w:val="single" w:sz="4" w:space="0" w:color="auto"/>
              <w:right w:val="single" w:sz="4" w:space="0" w:color="auto"/>
            </w:tcBorders>
            <w:shd w:val="clear" w:color="auto" w:fill="auto"/>
            <w:vAlign w:val="center"/>
            <w:hideMark/>
          </w:tcPr>
          <w:p w:rsidR="00ED5F3F" w:rsidRPr="008B1259" w:rsidRDefault="00ED5F3F" w:rsidP="008B1259">
            <w:pPr>
              <w:jc w:val="center"/>
            </w:pPr>
            <w:r>
              <w:t>2.26 (2)</w:t>
            </w:r>
          </w:p>
        </w:tc>
        <w:tc>
          <w:tcPr>
            <w:tcW w:w="850" w:type="dxa"/>
            <w:tcBorders>
              <w:top w:val="nil"/>
              <w:left w:val="nil"/>
              <w:bottom w:val="single" w:sz="4" w:space="0" w:color="auto"/>
              <w:right w:val="single" w:sz="4" w:space="0" w:color="auto"/>
            </w:tcBorders>
            <w:shd w:val="clear" w:color="auto" w:fill="auto"/>
            <w:vAlign w:val="center"/>
            <w:hideMark/>
          </w:tcPr>
          <w:p w:rsidR="00ED5F3F" w:rsidRPr="008B1259" w:rsidRDefault="00ED5F3F" w:rsidP="008B1259">
            <w:pPr>
              <w:jc w:val="center"/>
            </w:pPr>
            <w:r>
              <w:t>34</w:t>
            </w:r>
          </w:p>
        </w:tc>
        <w:tc>
          <w:tcPr>
            <w:tcW w:w="3686" w:type="dxa"/>
            <w:tcBorders>
              <w:top w:val="nil"/>
              <w:left w:val="nil"/>
              <w:bottom w:val="single" w:sz="4" w:space="0" w:color="auto"/>
              <w:right w:val="single" w:sz="4" w:space="0" w:color="auto"/>
            </w:tcBorders>
            <w:shd w:val="clear" w:color="auto" w:fill="auto"/>
            <w:hideMark/>
          </w:tcPr>
          <w:p w:rsidR="00ED5F3F" w:rsidRPr="008B1259" w:rsidRDefault="00ED5F3F" w:rsidP="00ED5F3F">
            <w:pPr>
              <w:rPr>
                <w:lang w:val="en-US"/>
              </w:rPr>
            </w:pPr>
            <w:r w:rsidRPr="00ED5F3F">
              <w:rPr>
                <w:lang w:val="en-US"/>
              </w:rPr>
              <w:t xml:space="preserve">Technical Bids will be opened in the presence of representatives of the Bidders (not more than two representatives per bidder) who choose to be present as per the date and time indicated by the UIDAI. Evaluation of Technical bid is subject to meeting all pre qualification criteria. A detailed evaluation will be subsequently carried out by the UIDAI. In this phase, the Technical Bids will be reviewed for compliance of the Bid requirements with reference to the responses to the technical requirements given in Section IV and schedule of requirements of this Bid Document (Section V).Technical Bids which meet the above mentioned criteria will be eligible for consideration in the subsequent rounds. If required, the UIDAI may seek specific clarifications from any or all Bidder(s) at this stage. The UIDAI shall determine the Bidders that </w:t>
            </w:r>
            <w:r w:rsidRPr="00ED5F3F">
              <w:rPr>
                <w:lang w:val="en-US"/>
              </w:rPr>
              <w:lastRenderedPageBreak/>
              <w:t xml:space="preserve">qualify for the next phase after reviewing the clarifications provided by the Bidder(s). </w:t>
            </w:r>
          </w:p>
        </w:tc>
        <w:tc>
          <w:tcPr>
            <w:tcW w:w="4536" w:type="dxa"/>
            <w:tcBorders>
              <w:top w:val="nil"/>
              <w:left w:val="nil"/>
              <w:bottom w:val="single" w:sz="4" w:space="0" w:color="auto"/>
              <w:right w:val="single" w:sz="4" w:space="0" w:color="auto"/>
            </w:tcBorders>
            <w:shd w:val="clear" w:color="auto" w:fill="auto"/>
            <w:hideMark/>
          </w:tcPr>
          <w:p w:rsidR="00ED5F3F" w:rsidRPr="008B1259" w:rsidRDefault="00ED5F3F" w:rsidP="00ED5F3F">
            <w:r w:rsidRPr="00ED5F3F">
              <w:rPr>
                <w:lang w:val="en-US"/>
              </w:rPr>
              <w:lastRenderedPageBreak/>
              <w:t>Technical Bids will be opened in the presence of representatives of the Bidders (not more than two representatives per bidder) who choose to be present as per the date and time indicated by the UIDAI. Evaluation of Technical bid is subject to meeting all pre qualification criteria. A detailed evaluation will be subsequently carried out by the UIDAI. In this phase, the Technical Bids will be reviewed for compliance of the Bid re</w:t>
            </w:r>
            <w:r>
              <w:rPr>
                <w:lang w:val="en-US"/>
              </w:rPr>
              <w:t>quirements with reference to all the documents listed in clause 1.3.2</w:t>
            </w:r>
            <w:r w:rsidRPr="00ED5F3F">
              <w:rPr>
                <w:lang w:val="en-US"/>
              </w:rPr>
              <w:t>.</w:t>
            </w:r>
            <w:r>
              <w:rPr>
                <w:lang w:val="en-US"/>
              </w:rPr>
              <w:t xml:space="preserve"> </w:t>
            </w:r>
            <w:r w:rsidRPr="00ED5F3F">
              <w:rPr>
                <w:lang w:val="en-US"/>
              </w:rPr>
              <w:t>Technical Bids which meet the above mentioned criteria will be eligible for consideration in the subsequent rounds. If required, the UIDAI may seek specific clarifications from any or all Bidder(s) at this stage. The UIDAI shall determine the Bidders that qualify for the next phase after reviewing the clarifications provided by the Bidder(s).</w:t>
            </w:r>
          </w:p>
        </w:tc>
      </w:tr>
      <w:tr w:rsidR="00FB6975" w:rsidRPr="008B1259" w:rsidTr="00365FFA">
        <w:trPr>
          <w:trHeight w:val="1679"/>
          <w:jc w:val="center"/>
        </w:trPr>
        <w:tc>
          <w:tcPr>
            <w:tcW w:w="662" w:type="dxa"/>
            <w:tcBorders>
              <w:top w:val="nil"/>
              <w:left w:val="single" w:sz="4" w:space="0" w:color="auto"/>
              <w:bottom w:val="single" w:sz="4" w:space="0" w:color="auto"/>
              <w:right w:val="single" w:sz="4" w:space="0" w:color="auto"/>
            </w:tcBorders>
            <w:shd w:val="clear" w:color="auto" w:fill="auto"/>
            <w:vAlign w:val="center"/>
            <w:hideMark/>
          </w:tcPr>
          <w:p w:rsidR="00FB6975" w:rsidRDefault="00437BEC" w:rsidP="008D68D1">
            <w:pPr>
              <w:spacing w:after="0"/>
              <w:jc w:val="center"/>
            </w:pPr>
            <w:r>
              <w:lastRenderedPageBreak/>
              <w:t>4</w:t>
            </w:r>
          </w:p>
        </w:tc>
        <w:tc>
          <w:tcPr>
            <w:tcW w:w="1083" w:type="dxa"/>
            <w:tcBorders>
              <w:top w:val="nil"/>
              <w:left w:val="nil"/>
              <w:bottom w:val="single" w:sz="4" w:space="0" w:color="auto"/>
              <w:right w:val="single" w:sz="4" w:space="0" w:color="auto"/>
            </w:tcBorders>
            <w:shd w:val="clear" w:color="auto" w:fill="auto"/>
            <w:vAlign w:val="center"/>
            <w:hideMark/>
          </w:tcPr>
          <w:p w:rsidR="00FB6975" w:rsidRDefault="00FB6975" w:rsidP="008D68D1">
            <w:pPr>
              <w:spacing w:after="0"/>
              <w:jc w:val="center"/>
            </w:pPr>
            <w:r>
              <w:t>5.4.1 (9)</w:t>
            </w:r>
          </w:p>
        </w:tc>
        <w:tc>
          <w:tcPr>
            <w:tcW w:w="850" w:type="dxa"/>
            <w:tcBorders>
              <w:top w:val="nil"/>
              <w:left w:val="nil"/>
              <w:bottom w:val="single" w:sz="4" w:space="0" w:color="auto"/>
              <w:right w:val="single" w:sz="4" w:space="0" w:color="auto"/>
            </w:tcBorders>
            <w:shd w:val="clear" w:color="auto" w:fill="auto"/>
            <w:vAlign w:val="center"/>
            <w:hideMark/>
          </w:tcPr>
          <w:p w:rsidR="00FB6975" w:rsidRDefault="00FB6975" w:rsidP="008D68D1">
            <w:pPr>
              <w:spacing w:after="0"/>
              <w:jc w:val="center"/>
            </w:pPr>
            <w:r>
              <w:t>82</w:t>
            </w:r>
          </w:p>
        </w:tc>
        <w:tc>
          <w:tcPr>
            <w:tcW w:w="3686" w:type="dxa"/>
            <w:tcBorders>
              <w:top w:val="nil"/>
              <w:left w:val="nil"/>
              <w:bottom w:val="single" w:sz="4" w:space="0" w:color="auto"/>
              <w:right w:val="single" w:sz="4" w:space="0" w:color="auto"/>
            </w:tcBorders>
            <w:shd w:val="clear" w:color="auto" w:fill="auto"/>
            <w:hideMark/>
          </w:tcPr>
          <w:p w:rsidR="00FB6975" w:rsidRPr="009B3829" w:rsidRDefault="00FB6975" w:rsidP="008D68D1">
            <w:pPr>
              <w:spacing w:after="0" w:line="240" w:lineRule="auto"/>
              <w:rPr>
                <w:rFonts w:cs="Arial"/>
                <w:i/>
              </w:rPr>
            </w:pPr>
            <w:r w:rsidRPr="003F2F46">
              <w:rPr>
                <w:rFonts w:cs="Arial"/>
              </w:rPr>
              <w:t>All the personnel employed by the successful bidder/Vendor for this contract shall adhere to the security policy of UIDAI/Aadhaar Act, 2016 and should follow the policy of UIDAI in terms of software, configuration and services. The security policy of UIDAI shall be shared with the successful bidder/Vendor while on-boarding.</w:t>
            </w:r>
          </w:p>
        </w:tc>
        <w:tc>
          <w:tcPr>
            <w:tcW w:w="4536" w:type="dxa"/>
            <w:tcBorders>
              <w:top w:val="nil"/>
              <w:left w:val="nil"/>
              <w:bottom w:val="single" w:sz="4" w:space="0" w:color="auto"/>
              <w:right w:val="single" w:sz="4" w:space="0" w:color="auto"/>
            </w:tcBorders>
            <w:shd w:val="clear" w:color="auto" w:fill="auto"/>
            <w:hideMark/>
          </w:tcPr>
          <w:p w:rsidR="00FB6975" w:rsidRPr="009B3829" w:rsidRDefault="00FB6975" w:rsidP="008D68D1">
            <w:pPr>
              <w:spacing w:after="0" w:line="240" w:lineRule="auto"/>
              <w:rPr>
                <w:i/>
              </w:rPr>
            </w:pPr>
            <w:r w:rsidRPr="004054F0">
              <w:rPr>
                <w:rFonts w:cs="Arial"/>
                <w:sz w:val="24"/>
                <w:szCs w:val="24"/>
              </w:rPr>
              <w:t xml:space="preserve">All the personnel employed by the successful bidder/Vendor for this contract shall adhere to the </w:t>
            </w:r>
            <w:r w:rsidRPr="00EC1F3A">
              <w:rPr>
                <w:rFonts w:cs="Arial"/>
                <w:sz w:val="24"/>
                <w:szCs w:val="24"/>
              </w:rPr>
              <w:t>IS policy of UIDAI/</w:t>
            </w:r>
            <w:r w:rsidRPr="004054F0">
              <w:rPr>
                <w:rFonts w:cs="Arial"/>
                <w:sz w:val="24"/>
                <w:szCs w:val="24"/>
              </w:rPr>
              <w:t>Aadhaar Act, 2016 and should follow the policy of UIDAI in terms of software, configur</w:t>
            </w:r>
            <w:r>
              <w:rPr>
                <w:rFonts w:cs="Arial"/>
                <w:sz w:val="24"/>
                <w:szCs w:val="24"/>
              </w:rPr>
              <w:t xml:space="preserve">ation and services. The </w:t>
            </w:r>
            <w:r w:rsidRPr="00EC1F3A">
              <w:rPr>
                <w:rFonts w:cs="Arial"/>
                <w:sz w:val="24"/>
                <w:szCs w:val="24"/>
              </w:rPr>
              <w:t>IS policy of UIDAI</w:t>
            </w:r>
            <w:r w:rsidRPr="004054F0">
              <w:rPr>
                <w:rFonts w:cs="Arial"/>
                <w:sz w:val="24"/>
                <w:szCs w:val="24"/>
              </w:rPr>
              <w:t xml:space="preserve"> shall be shared with the successful bidder/Vendor while on-boarding.</w:t>
            </w:r>
          </w:p>
        </w:tc>
      </w:tr>
      <w:tr w:rsidR="0046395F" w:rsidRPr="008B1259" w:rsidTr="0046395F">
        <w:trPr>
          <w:trHeight w:val="617"/>
          <w:jc w:val="center"/>
        </w:trPr>
        <w:tc>
          <w:tcPr>
            <w:tcW w:w="662" w:type="dxa"/>
            <w:tcBorders>
              <w:top w:val="nil"/>
              <w:left w:val="single" w:sz="4" w:space="0" w:color="auto"/>
              <w:bottom w:val="single" w:sz="4" w:space="0" w:color="auto"/>
              <w:right w:val="single" w:sz="4" w:space="0" w:color="auto"/>
            </w:tcBorders>
            <w:shd w:val="clear" w:color="auto" w:fill="auto"/>
            <w:vAlign w:val="center"/>
            <w:hideMark/>
          </w:tcPr>
          <w:p w:rsidR="0046395F" w:rsidRDefault="00437BEC" w:rsidP="008B1259">
            <w:pPr>
              <w:jc w:val="center"/>
            </w:pPr>
            <w:r>
              <w:t>5</w:t>
            </w:r>
          </w:p>
        </w:tc>
        <w:tc>
          <w:tcPr>
            <w:tcW w:w="1083" w:type="dxa"/>
            <w:tcBorders>
              <w:top w:val="nil"/>
              <w:left w:val="nil"/>
              <w:bottom w:val="single" w:sz="4" w:space="0" w:color="auto"/>
              <w:right w:val="single" w:sz="4" w:space="0" w:color="auto"/>
            </w:tcBorders>
            <w:shd w:val="clear" w:color="auto" w:fill="auto"/>
            <w:vAlign w:val="center"/>
            <w:hideMark/>
          </w:tcPr>
          <w:p w:rsidR="0046395F" w:rsidRDefault="0046395F" w:rsidP="00795C4D">
            <w:pPr>
              <w:jc w:val="center"/>
            </w:pPr>
            <w:r>
              <w:t>6.5.4 (7)</w:t>
            </w:r>
          </w:p>
        </w:tc>
        <w:tc>
          <w:tcPr>
            <w:tcW w:w="850" w:type="dxa"/>
            <w:tcBorders>
              <w:top w:val="nil"/>
              <w:left w:val="nil"/>
              <w:bottom w:val="single" w:sz="4" w:space="0" w:color="auto"/>
              <w:right w:val="single" w:sz="4" w:space="0" w:color="auto"/>
            </w:tcBorders>
            <w:shd w:val="clear" w:color="auto" w:fill="auto"/>
            <w:vAlign w:val="center"/>
            <w:hideMark/>
          </w:tcPr>
          <w:p w:rsidR="0046395F" w:rsidRDefault="0046395F" w:rsidP="00795C4D">
            <w:pPr>
              <w:jc w:val="center"/>
            </w:pPr>
            <w:r>
              <w:t>120</w:t>
            </w:r>
          </w:p>
        </w:tc>
        <w:tc>
          <w:tcPr>
            <w:tcW w:w="3686" w:type="dxa"/>
            <w:tcBorders>
              <w:top w:val="nil"/>
              <w:left w:val="nil"/>
              <w:bottom w:val="single" w:sz="4" w:space="0" w:color="auto"/>
              <w:right w:val="single" w:sz="4" w:space="0" w:color="auto"/>
            </w:tcBorders>
            <w:shd w:val="clear" w:color="auto" w:fill="auto"/>
            <w:hideMark/>
          </w:tcPr>
          <w:p w:rsidR="0046395F" w:rsidRPr="0046395F" w:rsidRDefault="0046395F" w:rsidP="0046395F">
            <w:pPr>
              <w:pStyle w:val="Default"/>
              <w:rPr>
                <w:sz w:val="22"/>
                <w:szCs w:val="22"/>
              </w:rPr>
            </w:pPr>
            <w:r>
              <w:rPr>
                <w:sz w:val="22"/>
                <w:szCs w:val="22"/>
              </w:rPr>
              <w:t xml:space="preserve">SSL Inspection Throughput for RSA 2k – at least 5 </w:t>
            </w:r>
            <w:proofErr w:type="spellStart"/>
            <w:r>
              <w:rPr>
                <w:sz w:val="22"/>
                <w:szCs w:val="22"/>
              </w:rPr>
              <w:t>Gbps</w:t>
            </w:r>
            <w:proofErr w:type="spellEnd"/>
            <w:r>
              <w:rPr>
                <w:sz w:val="22"/>
                <w:szCs w:val="22"/>
              </w:rPr>
              <w:t xml:space="preserve"> </w:t>
            </w:r>
          </w:p>
        </w:tc>
        <w:tc>
          <w:tcPr>
            <w:tcW w:w="4536" w:type="dxa"/>
            <w:tcBorders>
              <w:top w:val="nil"/>
              <w:left w:val="nil"/>
              <w:bottom w:val="single" w:sz="4" w:space="0" w:color="auto"/>
              <w:right w:val="single" w:sz="4" w:space="0" w:color="auto"/>
            </w:tcBorders>
            <w:shd w:val="clear" w:color="auto" w:fill="auto"/>
            <w:hideMark/>
          </w:tcPr>
          <w:p w:rsidR="0046395F" w:rsidRPr="0046395F" w:rsidRDefault="0046395F" w:rsidP="0046395F">
            <w:pPr>
              <w:pStyle w:val="Default"/>
              <w:rPr>
                <w:sz w:val="22"/>
                <w:szCs w:val="22"/>
              </w:rPr>
            </w:pPr>
            <w:r>
              <w:rPr>
                <w:sz w:val="22"/>
                <w:szCs w:val="22"/>
              </w:rPr>
              <w:t xml:space="preserve">SSL Inspection Throughput – at least 5 </w:t>
            </w:r>
            <w:proofErr w:type="spellStart"/>
            <w:r>
              <w:rPr>
                <w:sz w:val="22"/>
                <w:szCs w:val="22"/>
              </w:rPr>
              <w:t>Gbps</w:t>
            </w:r>
            <w:proofErr w:type="spellEnd"/>
            <w:r>
              <w:rPr>
                <w:sz w:val="22"/>
                <w:szCs w:val="22"/>
              </w:rPr>
              <w:t xml:space="preserve"> </w:t>
            </w:r>
          </w:p>
        </w:tc>
      </w:tr>
      <w:tr w:rsidR="00026EBC" w:rsidRPr="008B1259" w:rsidTr="00365FFA">
        <w:trPr>
          <w:trHeight w:val="687"/>
          <w:jc w:val="center"/>
        </w:trPr>
        <w:tc>
          <w:tcPr>
            <w:tcW w:w="662" w:type="dxa"/>
            <w:tcBorders>
              <w:top w:val="nil"/>
              <w:left w:val="single" w:sz="4" w:space="0" w:color="auto"/>
              <w:bottom w:val="single" w:sz="4" w:space="0" w:color="auto"/>
              <w:right w:val="single" w:sz="4" w:space="0" w:color="auto"/>
            </w:tcBorders>
            <w:shd w:val="clear" w:color="auto" w:fill="auto"/>
            <w:vAlign w:val="center"/>
            <w:hideMark/>
          </w:tcPr>
          <w:p w:rsidR="00026EBC" w:rsidRDefault="00437BEC" w:rsidP="008B1259">
            <w:pPr>
              <w:jc w:val="center"/>
            </w:pPr>
            <w:r>
              <w:t>6</w:t>
            </w:r>
          </w:p>
        </w:tc>
        <w:tc>
          <w:tcPr>
            <w:tcW w:w="1083" w:type="dxa"/>
            <w:tcBorders>
              <w:top w:val="nil"/>
              <w:left w:val="nil"/>
              <w:bottom w:val="single" w:sz="4" w:space="0" w:color="auto"/>
              <w:right w:val="single" w:sz="4" w:space="0" w:color="auto"/>
            </w:tcBorders>
            <w:shd w:val="clear" w:color="auto" w:fill="auto"/>
            <w:vAlign w:val="center"/>
            <w:hideMark/>
          </w:tcPr>
          <w:p w:rsidR="00026EBC" w:rsidRDefault="00026EBC" w:rsidP="008B1259">
            <w:pPr>
              <w:jc w:val="center"/>
            </w:pPr>
            <w:r>
              <w:t>3.10.1 (2)</w:t>
            </w:r>
          </w:p>
        </w:tc>
        <w:tc>
          <w:tcPr>
            <w:tcW w:w="850" w:type="dxa"/>
            <w:tcBorders>
              <w:top w:val="nil"/>
              <w:left w:val="nil"/>
              <w:bottom w:val="single" w:sz="4" w:space="0" w:color="auto"/>
              <w:right w:val="single" w:sz="4" w:space="0" w:color="auto"/>
            </w:tcBorders>
            <w:shd w:val="clear" w:color="auto" w:fill="auto"/>
            <w:vAlign w:val="center"/>
            <w:hideMark/>
          </w:tcPr>
          <w:p w:rsidR="00026EBC" w:rsidRDefault="00026EBC" w:rsidP="008B1259">
            <w:pPr>
              <w:jc w:val="center"/>
            </w:pPr>
            <w:r>
              <w:t>47</w:t>
            </w:r>
          </w:p>
        </w:tc>
        <w:tc>
          <w:tcPr>
            <w:tcW w:w="3686" w:type="dxa"/>
            <w:tcBorders>
              <w:top w:val="nil"/>
              <w:left w:val="nil"/>
              <w:bottom w:val="single" w:sz="4" w:space="0" w:color="auto"/>
              <w:right w:val="single" w:sz="4" w:space="0" w:color="auto"/>
            </w:tcBorders>
            <w:shd w:val="clear" w:color="auto" w:fill="auto"/>
            <w:hideMark/>
          </w:tcPr>
          <w:p w:rsidR="00026EBC" w:rsidRPr="00026EBC" w:rsidRDefault="00026EBC" w:rsidP="00026EBC">
            <w:pPr>
              <w:rPr>
                <w:lang w:val="en-US"/>
              </w:rPr>
            </w:pPr>
            <w:r w:rsidRPr="00026EBC">
              <w:rPr>
                <w:lang w:val="en-US"/>
              </w:rPr>
              <w:t xml:space="preserve">This warranty shall remain valid, for 3 Years (36 months) in respect of equipment, or any portion thereof as the case may be, which have been delivered (and commissioned) to the final destination indicated and accepted as part of the scope of this bid. The warranty period shall commence from the date of acceptance of system i.e. UAT of all the devices by UIDAI after the   successful installation and commissioning of the same or 30 days after submission of ATRR by the bidder, whichever is earlier. In case if the warranty commences without UAT, then also, UAT is to be carried out during the currency of warranty at the earliest date. In case if UAT commences within 30 days of ATRR but is not successful due to default by vendor, in that case, warranty shall be shifted for the duration during which default persisted. Please refer clause 5.4.3 (4). </w:t>
            </w:r>
          </w:p>
          <w:p w:rsidR="00026EBC" w:rsidRPr="00026EBC" w:rsidRDefault="00026EBC" w:rsidP="00026EBC">
            <w:pPr>
              <w:rPr>
                <w:b/>
                <w:bCs/>
                <w:u w:val="single"/>
                <w:lang w:val="en-US"/>
              </w:rPr>
            </w:pPr>
            <w:r w:rsidRPr="00026EBC">
              <w:rPr>
                <w:b/>
                <w:bCs/>
                <w:u w:val="single"/>
                <w:lang w:val="en-US"/>
              </w:rPr>
              <w:t>Note:</w:t>
            </w:r>
          </w:p>
          <w:p w:rsidR="00026EBC" w:rsidRPr="00026EBC" w:rsidRDefault="00026EBC" w:rsidP="00026EBC">
            <w:pPr>
              <w:rPr>
                <w:lang w:val="en-US"/>
              </w:rPr>
            </w:pPr>
            <w:r w:rsidRPr="00026EBC">
              <w:rPr>
                <w:lang w:val="en-US"/>
              </w:rPr>
              <w:lastRenderedPageBreak/>
              <w:t>This clause supersedes all other clauses of RFP in case of any contradiction, provided the compliance of SLA provisions (as mentioned in RFP) during the testing period shall remain unaffected by this modification.</w:t>
            </w:r>
          </w:p>
          <w:p w:rsidR="00026EBC" w:rsidRPr="00026EBC" w:rsidRDefault="00026EBC" w:rsidP="00026EBC">
            <w:pPr>
              <w:rPr>
                <w:lang w:val="en-US"/>
              </w:rPr>
            </w:pPr>
            <w:r w:rsidRPr="00026EBC">
              <w:rPr>
                <w:lang w:val="en-US"/>
              </w:rPr>
              <w:t>For e.g.</w:t>
            </w:r>
          </w:p>
          <w:p w:rsidR="00026EBC" w:rsidRPr="00026EBC" w:rsidRDefault="00026EBC" w:rsidP="00026EBC">
            <w:pPr>
              <w:rPr>
                <w:lang w:val="en-US"/>
              </w:rPr>
            </w:pPr>
            <w:r w:rsidRPr="00026EBC">
              <w:rPr>
                <w:lang w:val="en-US"/>
              </w:rPr>
              <w:t>If ATRR is submitted by the vendor on 1</w:t>
            </w:r>
            <w:r w:rsidRPr="00026EBC">
              <w:rPr>
                <w:vertAlign w:val="superscript"/>
                <w:lang w:val="en-US"/>
              </w:rPr>
              <w:t>st</w:t>
            </w:r>
            <w:r w:rsidRPr="00026EBC">
              <w:rPr>
                <w:lang w:val="en-US"/>
              </w:rPr>
              <w:t xml:space="preserve"> January 2018, then UIDAI will commence the UAT on or after 1</w:t>
            </w:r>
            <w:r w:rsidRPr="00026EBC">
              <w:rPr>
                <w:vertAlign w:val="superscript"/>
                <w:lang w:val="en-US"/>
              </w:rPr>
              <w:t>st</w:t>
            </w:r>
            <w:r w:rsidRPr="00026EBC">
              <w:rPr>
                <w:lang w:val="en-US"/>
              </w:rPr>
              <w:t xml:space="preserve"> January, 2018.</w:t>
            </w:r>
          </w:p>
          <w:p w:rsidR="00026EBC" w:rsidRPr="00026EBC" w:rsidRDefault="00026EBC" w:rsidP="00026EBC">
            <w:pPr>
              <w:rPr>
                <w:lang w:val="en-US"/>
              </w:rPr>
            </w:pPr>
            <w:proofErr w:type="spellStart"/>
            <w:r w:rsidRPr="00026EBC">
              <w:rPr>
                <w:lang w:val="en-US"/>
              </w:rPr>
              <w:t>i</w:t>
            </w:r>
            <w:proofErr w:type="spellEnd"/>
            <w:r w:rsidRPr="00026EBC">
              <w:rPr>
                <w:lang w:val="en-US"/>
              </w:rPr>
              <w:t>) Scenario 1-UAT gets completed on 20</w:t>
            </w:r>
            <w:r w:rsidRPr="00026EBC">
              <w:rPr>
                <w:vertAlign w:val="superscript"/>
                <w:lang w:val="en-US"/>
              </w:rPr>
              <w:t>th</w:t>
            </w:r>
            <w:r w:rsidRPr="00026EBC">
              <w:rPr>
                <w:lang w:val="en-US"/>
              </w:rPr>
              <w:t xml:space="preserve"> January, 2018 – Then the warranty for the equipment shall start from 21</w:t>
            </w:r>
            <w:r w:rsidRPr="00026EBC">
              <w:rPr>
                <w:vertAlign w:val="superscript"/>
                <w:lang w:val="en-US"/>
              </w:rPr>
              <w:t>st</w:t>
            </w:r>
            <w:r w:rsidRPr="00026EBC">
              <w:rPr>
                <w:lang w:val="en-US"/>
              </w:rPr>
              <w:t xml:space="preserve"> January, 2018.</w:t>
            </w:r>
          </w:p>
          <w:p w:rsidR="00026EBC" w:rsidRPr="00ED5F3F" w:rsidRDefault="00026EBC" w:rsidP="00ED5F3F">
            <w:pPr>
              <w:rPr>
                <w:lang w:val="en-US"/>
              </w:rPr>
            </w:pPr>
            <w:r w:rsidRPr="00026EBC">
              <w:rPr>
                <w:lang w:val="en-US"/>
              </w:rPr>
              <w:t>ii) Scenario 2- UAT gets completed on 20</w:t>
            </w:r>
            <w:r w:rsidRPr="00026EBC">
              <w:rPr>
                <w:vertAlign w:val="superscript"/>
                <w:lang w:val="en-US"/>
              </w:rPr>
              <w:t>th</w:t>
            </w:r>
            <w:r w:rsidRPr="00026EBC">
              <w:rPr>
                <w:lang w:val="en-US"/>
              </w:rPr>
              <w:t xml:space="preserve"> February 2018 – then the warranty for equipment shall start from 31</w:t>
            </w:r>
            <w:r w:rsidRPr="00026EBC">
              <w:rPr>
                <w:vertAlign w:val="superscript"/>
                <w:lang w:val="en-US"/>
              </w:rPr>
              <w:t>st</w:t>
            </w:r>
            <w:r w:rsidRPr="00026EBC">
              <w:rPr>
                <w:lang w:val="en-US"/>
              </w:rPr>
              <w:t xml:space="preserve"> January 2018. However, the terms of SLA as mentioned in Clause 5.4.3 (4) of RFP shall be applicable till the completion of UAT i.e., till 20</w:t>
            </w:r>
            <w:r w:rsidRPr="00026EBC">
              <w:rPr>
                <w:vertAlign w:val="superscript"/>
                <w:lang w:val="en-US"/>
              </w:rPr>
              <w:t>th</w:t>
            </w:r>
            <w:r w:rsidRPr="00026EBC">
              <w:rPr>
                <w:lang w:val="en-US"/>
              </w:rPr>
              <w:t xml:space="preserve"> February 2018.</w:t>
            </w:r>
          </w:p>
        </w:tc>
        <w:tc>
          <w:tcPr>
            <w:tcW w:w="4536" w:type="dxa"/>
            <w:tcBorders>
              <w:top w:val="nil"/>
              <w:left w:val="nil"/>
              <w:bottom w:val="single" w:sz="4" w:space="0" w:color="auto"/>
              <w:right w:val="single" w:sz="4" w:space="0" w:color="auto"/>
            </w:tcBorders>
            <w:shd w:val="clear" w:color="auto" w:fill="auto"/>
            <w:hideMark/>
          </w:tcPr>
          <w:p w:rsidR="00026EBC" w:rsidRPr="00026EBC" w:rsidRDefault="00026EBC" w:rsidP="00026EBC">
            <w:pPr>
              <w:rPr>
                <w:lang w:val="en-US"/>
              </w:rPr>
            </w:pPr>
            <w:r w:rsidRPr="00026EBC">
              <w:rPr>
                <w:lang w:val="en-US"/>
              </w:rPr>
              <w:lastRenderedPageBreak/>
              <w:t>This warranty shall remain valid, for 3 Years (36 months) in respect of equipment, or any portion thereof as the case may be, which have been delivered (and commissioned) to the final destination indicated and accepted as part of the scope of this bid. The warranty period shall commence from the date of acceptance of system i.e. UAT of all t</w:t>
            </w:r>
            <w:r w:rsidR="009C6211">
              <w:rPr>
                <w:lang w:val="en-US"/>
              </w:rPr>
              <w:t xml:space="preserve">he devices by UIDAI after the </w:t>
            </w:r>
            <w:r w:rsidRPr="00026EBC">
              <w:rPr>
                <w:lang w:val="en-US"/>
              </w:rPr>
              <w:t xml:space="preserve">successful installation and commissioning of the same or 30 days after submission of ATRR by the bidder, whichever is earlier. In case if the warranty commences without UAT, then also, UAT is to be carried out during the currency of warranty at the earliest date. In case if UAT commences within 30 days of ATRR but is not successful due to default by vendor, in that case, warranty shall be shifted for the duration during which default persisted. Please refer clause 5.4.3 (4). </w:t>
            </w:r>
          </w:p>
          <w:p w:rsidR="00026EBC" w:rsidRPr="00026EBC" w:rsidRDefault="00026EBC" w:rsidP="00026EBC">
            <w:pPr>
              <w:rPr>
                <w:lang w:val="en-US"/>
              </w:rPr>
            </w:pPr>
            <w:r w:rsidRPr="00026EBC">
              <w:rPr>
                <w:lang w:val="en-US"/>
              </w:rPr>
              <w:t>For e.g.</w:t>
            </w:r>
          </w:p>
          <w:p w:rsidR="00026EBC" w:rsidRPr="00026EBC" w:rsidRDefault="00026EBC" w:rsidP="00026EBC">
            <w:pPr>
              <w:rPr>
                <w:lang w:val="en-US"/>
              </w:rPr>
            </w:pPr>
            <w:r w:rsidRPr="00026EBC">
              <w:rPr>
                <w:lang w:val="en-US"/>
              </w:rPr>
              <w:t>If ATRR is submitted by the vendor on 1</w:t>
            </w:r>
            <w:r w:rsidRPr="00026EBC">
              <w:rPr>
                <w:vertAlign w:val="superscript"/>
                <w:lang w:val="en-US"/>
              </w:rPr>
              <w:t>st</w:t>
            </w:r>
            <w:r w:rsidRPr="00026EBC">
              <w:rPr>
                <w:lang w:val="en-US"/>
              </w:rPr>
              <w:t xml:space="preserve"> January 2018, then UIDAI will commence the UAT on or after 1</w:t>
            </w:r>
            <w:r w:rsidRPr="00026EBC">
              <w:rPr>
                <w:vertAlign w:val="superscript"/>
                <w:lang w:val="en-US"/>
              </w:rPr>
              <w:t>st</w:t>
            </w:r>
            <w:r w:rsidRPr="00026EBC">
              <w:rPr>
                <w:lang w:val="en-US"/>
              </w:rPr>
              <w:t xml:space="preserve"> January, 2018.</w:t>
            </w:r>
          </w:p>
          <w:p w:rsidR="00026EBC" w:rsidRPr="00026EBC" w:rsidRDefault="00026EBC" w:rsidP="00026EBC">
            <w:pPr>
              <w:rPr>
                <w:lang w:val="en-US"/>
              </w:rPr>
            </w:pPr>
            <w:proofErr w:type="spellStart"/>
            <w:r w:rsidRPr="00026EBC">
              <w:rPr>
                <w:lang w:val="en-US"/>
              </w:rPr>
              <w:t>i</w:t>
            </w:r>
            <w:proofErr w:type="spellEnd"/>
            <w:r w:rsidRPr="00026EBC">
              <w:rPr>
                <w:lang w:val="en-US"/>
              </w:rPr>
              <w:t>) Scenario 1-UAT gets completed on 20</w:t>
            </w:r>
            <w:r w:rsidRPr="00026EBC">
              <w:rPr>
                <w:vertAlign w:val="superscript"/>
                <w:lang w:val="en-US"/>
              </w:rPr>
              <w:t>th</w:t>
            </w:r>
            <w:r w:rsidRPr="00026EBC">
              <w:rPr>
                <w:lang w:val="en-US"/>
              </w:rPr>
              <w:t xml:space="preserve"> January, 2018 – Then the warranty for the </w:t>
            </w:r>
            <w:r w:rsidRPr="00026EBC">
              <w:rPr>
                <w:lang w:val="en-US"/>
              </w:rPr>
              <w:lastRenderedPageBreak/>
              <w:t>equipment shall start from 21</w:t>
            </w:r>
            <w:r w:rsidRPr="00026EBC">
              <w:rPr>
                <w:vertAlign w:val="superscript"/>
                <w:lang w:val="en-US"/>
              </w:rPr>
              <w:t>st</w:t>
            </w:r>
            <w:r w:rsidRPr="00026EBC">
              <w:rPr>
                <w:lang w:val="en-US"/>
              </w:rPr>
              <w:t xml:space="preserve"> January, 2018.</w:t>
            </w:r>
          </w:p>
          <w:p w:rsidR="00026EBC" w:rsidRPr="00ED5F3F" w:rsidRDefault="00026EBC" w:rsidP="00026EBC">
            <w:pPr>
              <w:rPr>
                <w:lang w:val="en-US"/>
              </w:rPr>
            </w:pPr>
            <w:r w:rsidRPr="00026EBC">
              <w:rPr>
                <w:lang w:val="en-US"/>
              </w:rPr>
              <w:t>ii) Scenario 2- UAT gets completed on 20</w:t>
            </w:r>
            <w:r w:rsidRPr="00026EBC">
              <w:rPr>
                <w:vertAlign w:val="superscript"/>
                <w:lang w:val="en-US"/>
              </w:rPr>
              <w:t>th</w:t>
            </w:r>
            <w:r w:rsidRPr="00026EBC">
              <w:rPr>
                <w:lang w:val="en-US"/>
              </w:rPr>
              <w:t xml:space="preserve"> February 2018 – then the warranty for equipment shall start from 31</w:t>
            </w:r>
            <w:r w:rsidRPr="00026EBC">
              <w:rPr>
                <w:vertAlign w:val="superscript"/>
                <w:lang w:val="en-US"/>
              </w:rPr>
              <w:t>st</w:t>
            </w:r>
            <w:r w:rsidRPr="00026EBC">
              <w:rPr>
                <w:lang w:val="en-US"/>
              </w:rPr>
              <w:t xml:space="preserve"> January 2018. However, the terms of SLA as mentioned in Clause 5.4.3 (4) of RFP shall be applicable till the completion of UAT i.e., till 20</w:t>
            </w:r>
            <w:r w:rsidRPr="00026EBC">
              <w:rPr>
                <w:vertAlign w:val="superscript"/>
                <w:lang w:val="en-US"/>
              </w:rPr>
              <w:t>th</w:t>
            </w:r>
            <w:r w:rsidRPr="00026EBC">
              <w:rPr>
                <w:lang w:val="en-US"/>
              </w:rPr>
              <w:t xml:space="preserve"> February 2018.</w:t>
            </w:r>
          </w:p>
        </w:tc>
      </w:tr>
      <w:tr w:rsidR="00ED5F3F" w:rsidRPr="008B1259" w:rsidTr="00365FFA">
        <w:trPr>
          <w:trHeight w:val="804"/>
          <w:jc w:val="center"/>
        </w:trPr>
        <w:tc>
          <w:tcPr>
            <w:tcW w:w="662" w:type="dxa"/>
            <w:tcBorders>
              <w:top w:val="nil"/>
              <w:left w:val="single" w:sz="4" w:space="0" w:color="auto"/>
              <w:bottom w:val="single" w:sz="4" w:space="0" w:color="auto"/>
              <w:right w:val="single" w:sz="4" w:space="0" w:color="auto"/>
            </w:tcBorders>
            <w:shd w:val="clear" w:color="auto" w:fill="auto"/>
            <w:vAlign w:val="center"/>
            <w:hideMark/>
          </w:tcPr>
          <w:p w:rsidR="008B1259" w:rsidRPr="008B1259" w:rsidRDefault="00437BEC" w:rsidP="008B1259">
            <w:pPr>
              <w:jc w:val="center"/>
            </w:pPr>
            <w:r>
              <w:lastRenderedPageBreak/>
              <w:t>7</w:t>
            </w:r>
          </w:p>
        </w:tc>
        <w:tc>
          <w:tcPr>
            <w:tcW w:w="1083" w:type="dxa"/>
            <w:tcBorders>
              <w:top w:val="nil"/>
              <w:left w:val="nil"/>
              <w:bottom w:val="single" w:sz="4" w:space="0" w:color="auto"/>
              <w:right w:val="single" w:sz="4" w:space="0" w:color="auto"/>
            </w:tcBorders>
            <w:shd w:val="clear" w:color="auto" w:fill="auto"/>
            <w:vAlign w:val="center"/>
            <w:hideMark/>
          </w:tcPr>
          <w:p w:rsidR="008B1259" w:rsidRPr="008B1259" w:rsidRDefault="00080CD8" w:rsidP="008B1259">
            <w:pPr>
              <w:jc w:val="center"/>
            </w:pPr>
            <w:r>
              <w:t>6.5.3</w:t>
            </w:r>
            <w:r w:rsidR="008B1259" w:rsidRPr="008B1259">
              <w:t xml:space="preserve"> (</w:t>
            </w:r>
            <w:r w:rsidR="00767E7B">
              <w:t>5</w:t>
            </w:r>
            <w:r w:rsidR="008B1259" w:rsidRPr="008B1259">
              <w:t>1)</w:t>
            </w:r>
          </w:p>
        </w:tc>
        <w:tc>
          <w:tcPr>
            <w:tcW w:w="850" w:type="dxa"/>
            <w:tcBorders>
              <w:top w:val="nil"/>
              <w:left w:val="nil"/>
              <w:bottom w:val="single" w:sz="4" w:space="0" w:color="auto"/>
              <w:right w:val="single" w:sz="4" w:space="0" w:color="auto"/>
            </w:tcBorders>
            <w:shd w:val="clear" w:color="auto" w:fill="auto"/>
            <w:vAlign w:val="center"/>
            <w:hideMark/>
          </w:tcPr>
          <w:p w:rsidR="008B1259" w:rsidRPr="008B1259" w:rsidRDefault="00767E7B" w:rsidP="008B1259">
            <w:pPr>
              <w:jc w:val="center"/>
            </w:pPr>
            <w:r>
              <w:t>117</w:t>
            </w:r>
          </w:p>
        </w:tc>
        <w:tc>
          <w:tcPr>
            <w:tcW w:w="3686" w:type="dxa"/>
            <w:tcBorders>
              <w:top w:val="nil"/>
              <w:left w:val="nil"/>
              <w:bottom w:val="single" w:sz="4" w:space="0" w:color="auto"/>
              <w:right w:val="single" w:sz="4" w:space="0" w:color="auto"/>
            </w:tcBorders>
            <w:shd w:val="clear" w:color="auto" w:fill="auto"/>
            <w:hideMark/>
          </w:tcPr>
          <w:p w:rsidR="008B1259" w:rsidRPr="008B1259" w:rsidRDefault="00767E7B" w:rsidP="004718A5">
            <w:pPr>
              <w:rPr>
                <w:lang w:val="en-US"/>
              </w:rPr>
            </w:pPr>
            <w:r>
              <w:rPr>
                <w:lang w:val="en-US"/>
              </w:rPr>
              <w:t>Concurrent connections – 15 Million</w:t>
            </w:r>
          </w:p>
        </w:tc>
        <w:tc>
          <w:tcPr>
            <w:tcW w:w="4536" w:type="dxa"/>
            <w:tcBorders>
              <w:top w:val="nil"/>
              <w:left w:val="nil"/>
              <w:bottom w:val="single" w:sz="4" w:space="0" w:color="auto"/>
              <w:right w:val="single" w:sz="4" w:space="0" w:color="auto"/>
            </w:tcBorders>
            <w:shd w:val="clear" w:color="auto" w:fill="auto"/>
            <w:hideMark/>
          </w:tcPr>
          <w:p w:rsidR="008B1259" w:rsidRPr="008B1259" w:rsidRDefault="00767E7B" w:rsidP="00AB4083">
            <w:r>
              <w:t>Concurrent connections – 12 Million</w:t>
            </w:r>
          </w:p>
        </w:tc>
      </w:tr>
      <w:tr w:rsidR="006C720E" w:rsidRPr="008B1259" w:rsidTr="00365FFA">
        <w:trPr>
          <w:trHeight w:val="785"/>
          <w:jc w:val="center"/>
        </w:trPr>
        <w:tc>
          <w:tcPr>
            <w:tcW w:w="662" w:type="dxa"/>
            <w:tcBorders>
              <w:top w:val="nil"/>
              <w:left w:val="single" w:sz="4" w:space="0" w:color="auto"/>
              <w:bottom w:val="single" w:sz="4" w:space="0" w:color="auto"/>
              <w:right w:val="single" w:sz="4" w:space="0" w:color="auto"/>
            </w:tcBorders>
            <w:shd w:val="clear" w:color="auto" w:fill="auto"/>
            <w:vAlign w:val="center"/>
            <w:hideMark/>
          </w:tcPr>
          <w:p w:rsidR="006C720E" w:rsidRDefault="00437BEC" w:rsidP="008B1259">
            <w:pPr>
              <w:jc w:val="center"/>
            </w:pPr>
            <w:r>
              <w:t>8</w:t>
            </w:r>
          </w:p>
        </w:tc>
        <w:tc>
          <w:tcPr>
            <w:tcW w:w="1083" w:type="dxa"/>
            <w:tcBorders>
              <w:top w:val="nil"/>
              <w:left w:val="nil"/>
              <w:bottom w:val="single" w:sz="4" w:space="0" w:color="auto"/>
              <w:right w:val="single" w:sz="4" w:space="0" w:color="auto"/>
            </w:tcBorders>
            <w:shd w:val="clear" w:color="auto" w:fill="auto"/>
            <w:vAlign w:val="center"/>
            <w:hideMark/>
          </w:tcPr>
          <w:p w:rsidR="006C720E" w:rsidRDefault="006C720E" w:rsidP="008B1259">
            <w:pPr>
              <w:jc w:val="center"/>
            </w:pPr>
            <w:r>
              <w:t>6.5.5 (14)</w:t>
            </w:r>
          </w:p>
        </w:tc>
        <w:tc>
          <w:tcPr>
            <w:tcW w:w="850" w:type="dxa"/>
            <w:tcBorders>
              <w:top w:val="nil"/>
              <w:left w:val="nil"/>
              <w:bottom w:val="single" w:sz="4" w:space="0" w:color="auto"/>
              <w:right w:val="single" w:sz="4" w:space="0" w:color="auto"/>
            </w:tcBorders>
            <w:shd w:val="clear" w:color="auto" w:fill="auto"/>
            <w:vAlign w:val="center"/>
            <w:hideMark/>
          </w:tcPr>
          <w:p w:rsidR="006C720E" w:rsidRDefault="006C720E" w:rsidP="008B1259">
            <w:pPr>
              <w:jc w:val="center"/>
            </w:pPr>
            <w:r>
              <w:t>126</w:t>
            </w:r>
          </w:p>
        </w:tc>
        <w:tc>
          <w:tcPr>
            <w:tcW w:w="3686" w:type="dxa"/>
            <w:tcBorders>
              <w:top w:val="nil"/>
              <w:left w:val="nil"/>
              <w:bottom w:val="single" w:sz="4" w:space="0" w:color="auto"/>
              <w:right w:val="single" w:sz="4" w:space="0" w:color="auto"/>
            </w:tcBorders>
            <w:shd w:val="clear" w:color="auto" w:fill="auto"/>
            <w:hideMark/>
          </w:tcPr>
          <w:p w:rsidR="006C720E" w:rsidRDefault="006C720E" w:rsidP="006C720E">
            <w:pPr>
              <w:rPr>
                <w:lang w:val="en-US"/>
              </w:rPr>
            </w:pPr>
            <w:r w:rsidRPr="006C720E">
              <w:rPr>
                <w:lang w:val="en-US"/>
              </w:rPr>
              <w:t>Support at least 4K VLAN (including reserved, if any) and 96k MAC Addresses</w:t>
            </w:r>
          </w:p>
        </w:tc>
        <w:tc>
          <w:tcPr>
            <w:tcW w:w="4536" w:type="dxa"/>
            <w:tcBorders>
              <w:top w:val="nil"/>
              <w:left w:val="nil"/>
              <w:bottom w:val="single" w:sz="4" w:space="0" w:color="auto"/>
              <w:right w:val="single" w:sz="4" w:space="0" w:color="auto"/>
            </w:tcBorders>
            <w:shd w:val="clear" w:color="auto" w:fill="auto"/>
            <w:hideMark/>
          </w:tcPr>
          <w:p w:rsidR="006C720E" w:rsidRDefault="006C720E" w:rsidP="00AB4083">
            <w:pPr>
              <w:rPr>
                <w:bCs/>
                <w:lang w:val="en-US"/>
              </w:rPr>
            </w:pPr>
            <w:r w:rsidRPr="006C720E">
              <w:rPr>
                <w:lang w:val="en-US"/>
              </w:rPr>
              <w:t>Support at least 4K VLAN (including reserved, if any</w:t>
            </w:r>
            <w:r>
              <w:rPr>
                <w:lang w:val="en-US"/>
              </w:rPr>
              <w:t>) and 92</w:t>
            </w:r>
            <w:r w:rsidRPr="006C720E">
              <w:rPr>
                <w:lang w:val="en-US"/>
              </w:rPr>
              <w:t>k MAC Addresses</w:t>
            </w:r>
          </w:p>
        </w:tc>
      </w:tr>
      <w:tr w:rsidR="00ED5F3F" w:rsidRPr="008B1259" w:rsidTr="00365FFA">
        <w:trPr>
          <w:trHeight w:val="785"/>
          <w:jc w:val="center"/>
        </w:trPr>
        <w:tc>
          <w:tcPr>
            <w:tcW w:w="662" w:type="dxa"/>
            <w:tcBorders>
              <w:top w:val="nil"/>
              <w:left w:val="single" w:sz="4" w:space="0" w:color="auto"/>
              <w:bottom w:val="single" w:sz="4" w:space="0" w:color="auto"/>
              <w:right w:val="single" w:sz="4" w:space="0" w:color="auto"/>
            </w:tcBorders>
            <w:shd w:val="clear" w:color="auto" w:fill="auto"/>
            <w:vAlign w:val="center"/>
            <w:hideMark/>
          </w:tcPr>
          <w:p w:rsidR="008B1259" w:rsidRPr="008B1259" w:rsidRDefault="00437BEC" w:rsidP="008B1259">
            <w:pPr>
              <w:jc w:val="center"/>
            </w:pPr>
            <w:r>
              <w:t>9</w:t>
            </w:r>
          </w:p>
        </w:tc>
        <w:tc>
          <w:tcPr>
            <w:tcW w:w="1083" w:type="dxa"/>
            <w:tcBorders>
              <w:top w:val="nil"/>
              <w:left w:val="nil"/>
              <w:bottom w:val="single" w:sz="4" w:space="0" w:color="auto"/>
              <w:right w:val="single" w:sz="4" w:space="0" w:color="auto"/>
            </w:tcBorders>
            <w:shd w:val="clear" w:color="auto" w:fill="auto"/>
            <w:vAlign w:val="center"/>
            <w:hideMark/>
          </w:tcPr>
          <w:p w:rsidR="008B1259" w:rsidRPr="008B1259" w:rsidRDefault="00767E7B" w:rsidP="008B1259">
            <w:pPr>
              <w:jc w:val="center"/>
            </w:pPr>
            <w:r>
              <w:t>6.5.5</w:t>
            </w:r>
            <w:r w:rsidR="008B1259" w:rsidRPr="008B1259">
              <w:t xml:space="preserve"> (</w:t>
            </w:r>
            <w:r>
              <w:t>3</w:t>
            </w:r>
            <w:r w:rsidR="00FB1BB4">
              <w:t>1</w:t>
            </w:r>
            <w:r w:rsidR="008B1259" w:rsidRPr="008B1259">
              <w:t>)</w:t>
            </w:r>
          </w:p>
        </w:tc>
        <w:tc>
          <w:tcPr>
            <w:tcW w:w="850" w:type="dxa"/>
            <w:tcBorders>
              <w:top w:val="nil"/>
              <w:left w:val="nil"/>
              <w:bottom w:val="single" w:sz="4" w:space="0" w:color="auto"/>
              <w:right w:val="single" w:sz="4" w:space="0" w:color="auto"/>
            </w:tcBorders>
            <w:shd w:val="clear" w:color="auto" w:fill="auto"/>
            <w:vAlign w:val="center"/>
            <w:hideMark/>
          </w:tcPr>
          <w:p w:rsidR="008B1259" w:rsidRPr="008B1259" w:rsidRDefault="00767E7B" w:rsidP="008B1259">
            <w:pPr>
              <w:jc w:val="center"/>
            </w:pPr>
            <w:r>
              <w:t>127</w:t>
            </w:r>
          </w:p>
        </w:tc>
        <w:tc>
          <w:tcPr>
            <w:tcW w:w="3686" w:type="dxa"/>
            <w:tcBorders>
              <w:top w:val="nil"/>
              <w:left w:val="nil"/>
              <w:bottom w:val="single" w:sz="4" w:space="0" w:color="auto"/>
              <w:right w:val="single" w:sz="4" w:space="0" w:color="auto"/>
            </w:tcBorders>
            <w:shd w:val="clear" w:color="auto" w:fill="auto"/>
            <w:hideMark/>
          </w:tcPr>
          <w:p w:rsidR="008B1259" w:rsidRPr="008B1259" w:rsidRDefault="00767E7B" w:rsidP="006C720E">
            <w:pPr>
              <w:rPr>
                <w:lang w:val="en-US"/>
              </w:rPr>
            </w:pPr>
            <w:r>
              <w:rPr>
                <w:lang w:val="en-US"/>
              </w:rPr>
              <w:t xml:space="preserve">IGMP </w:t>
            </w:r>
            <w:r w:rsidR="006C720E">
              <w:rPr>
                <w:lang w:val="en-US"/>
              </w:rPr>
              <w:t xml:space="preserve">snooping for IPv4 and IPv6, MLD </w:t>
            </w:r>
            <w:r>
              <w:rPr>
                <w:lang w:val="en-US"/>
              </w:rPr>
              <w:t>v1 &amp; v2 snooping</w:t>
            </w:r>
          </w:p>
        </w:tc>
        <w:tc>
          <w:tcPr>
            <w:tcW w:w="4536" w:type="dxa"/>
            <w:tcBorders>
              <w:top w:val="nil"/>
              <w:left w:val="nil"/>
              <w:bottom w:val="single" w:sz="4" w:space="0" w:color="auto"/>
              <w:right w:val="single" w:sz="4" w:space="0" w:color="auto"/>
            </w:tcBorders>
            <w:shd w:val="clear" w:color="auto" w:fill="auto"/>
            <w:hideMark/>
          </w:tcPr>
          <w:p w:rsidR="008B1259" w:rsidRPr="008B1259" w:rsidRDefault="00767E7B" w:rsidP="00AB4083">
            <w:pPr>
              <w:rPr>
                <w:bCs/>
                <w:lang w:val="en-US"/>
              </w:rPr>
            </w:pPr>
            <w:r>
              <w:rPr>
                <w:bCs/>
                <w:lang w:val="en-US"/>
              </w:rPr>
              <w:t>IGMP snooping for IPv4 and IPv6</w:t>
            </w:r>
          </w:p>
        </w:tc>
      </w:tr>
    </w:tbl>
    <w:p w:rsidR="008B1259" w:rsidRPr="008B1259" w:rsidRDefault="008B1259" w:rsidP="008B1259">
      <w:pPr>
        <w:jc w:val="center"/>
      </w:pPr>
    </w:p>
    <w:sectPr w:rsidR="008B1259" w:rsidRPr="008B1259" w:rsidSect="00E72A37">
      <w:pgSz w:w="11906" w:h="16838"/>
      <w:pgMar w:top="81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A66C6"/>
    <w:multiLevelType w:val="hybridMultilevel"/>
    <w:tmpl w:val="8D28B1A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202B38AF"/>
    <w:multiLevelType w:val="hybridMultilevel"/>
    <w:tmpl w:val="8D28B1A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47B76938"/>
    <w:multiLevelType w:val="multilevel"/>
    <w:tmpl w:val="9D984866"/>
    <w:lvl w:ilvl="0">
      <w:start w:val="1"/>
      <w:numFmt w:val="decimal"/>
      <w:lvlText w:val="%1."/>
      <w:lvlJc w:val="left"/>
      <w:pPr>
        <w:ind w:left="2160" w:firstLine="0"/>
      </w:pPr>
      <w:rPr>
        <w:rFonts w:ascii="Georgia" w:hAnsi="Georgia"/>
        <w:b w:val="0"/>
        <w:color w:val="000000" w:themeColor="text1"/>
        <w:sz w:val="24"/>
      </w:rPr>
    </w:lvl>
    <w:lvl w:ilvl="1">
      <w:start w:val="1"/>
      <w:numFmt w:val="lowerLetter"/>
      <w:lvlText w:val="%2)"/>
      <w:lvlJc w:val="left"/>
      <w:pPr>
        <w:ind w:left="2520" w:firstLine="0"/>
      </w:pPr>
      <w:rPr>
        <w:sz w:val="20"/>
      </w:rPr>
    </w:lvl>
    <w:lvl w:ilvl="2">
      <w:start w:val="1"/>
      <w:numFmt w:val="lowerRoman"/>
      <w:lvlText w:val="%3."/>
      <w:lvlJc w:val="right"/>
      <w:pPr>
        <w:ind w:left="2160" w:firstLine="0"/>
      </w:pPr>
    </w:lvl>
    <w:lvl w:ilvl="3">
      <w:start w:val="1"/>
      <w:numFmt w:val="decimal"/>
      <w:lvlText w:val="%4."/>
      <w:lvlJc w:val="left"/>
      <w:pPr>
        <w:ind w:left="2880" w:firstLine="0"/>
      </w:pPr>
    </w:lvl>
    <w:lvl w:ilvl="4">
      <w:start w:val="1"/>
      <w:numFmt w:val="lowerLetter"/>
      <w:lvlText w:val="%5."/>
      <w:lvlJc w:val="left"/>
      <w:pPr>
        <w:ind w:left="3600" w:firstLine="0"/>
      </w:pPr>
    </w:lvl>
    <w:lvl w:ilvl="5">
      <w:start w:val="1"/>
      <w:numFmt w:val="lowerRoman"/>
      <w:lvlText w:val="%6."/>
      <w:lvlJc w:val="right"/>
      <w:pPr>
        <w:ind w:left="4320" w:firstLine="0"/>
      </w:pPr>
    </w:lvl>
    <w:lvl w:ilvl="6">
      <w:start w:val="1"/>
      <w:numFmt w:val="decimal"/>
      <w:lvlText w:val="%7."/>
      <w:lvlJc w:val="left"/>
      <w:pPr>
        <w:ind w:left="5040" w:firstLine="0"/>
      </w:pPr>
    </w:lvl>
    <w:lvl w:ilvl="7">
      <w:start w:val="1"/>
      <w:numFmt w:val="lowerLetter"/>
      <w:lvlText w:val="%8."/>
      <w:lvlJc w:val="left"/>
      <w:pPr>
        <w:ind w:left="5760" w:firstLine="0"/>
      </w:pPr>
    </w:lvl>
    <w:lvl w:ilvl="8">
      <w:start w:val="1"/>
      <w:numFmt w:val="lowerRoman"/>
      <w:lvlText w:val="%9."/>
      <w:lvlJc w:val="right"/>
      <w:pPr>
        <w:ind w:left="6480" w:firstLine="0"/>
      </w:pPr>
    </w:lvl>
  </w:abstractNum>
  <w:abstractNum w:abstractNumId="3">
    <w:nsid w:val="6D924DB5"/>
    <w:multiLevelType w:val="multilevel"/>
    <w:tmpl w:val="D97CFE24"/>
    <w:lvl w:ilvl="0">
      <w:start w:val="1"/>
      <w:numFmt w:val="decimal"/>
      <w:lvlText w:val="%1."/>
      <w:lvlJc w:val="left"/>
      <w:pPr>
        <w:ind w:left="1440" w:firstLine="0"/>
      </w:pPr>
    </w:lvl>
    <w:lvl w:ilvl="1">
      <w:start w:val="1"/>
      <w:numFmt w:val="lowerLetter"/>
      <w:lvlText w:val="%2."/>
      <w:lvlJc w:val="left"/>
      <w:pPr>
        <w:ind w:left="2160" w:firstLine="0"/>
      </w:pPr>
    </w:lvl>
    <w:lvl w:ilvl="2">
      <w:start w:val="1"/>
      <w:numFmt w:val="lowerRoman"/>
      <w:lvlText w:val="%3."/>
      <w:lvlJc w:val="right"/>
      <w:pPr>
        <w:ind w:left="2880" w:firstLine="0"/>
      </w:pPr>
    </w:lvl>
    <w:lvl w:ilvl="3">
      <w:start w:val="1"/>
      <w:numFmt w:val="decimal"/>
      <w:lvlText w:val="%4."/>
      <w:lvlJc w:val="left"/>
      <w:pPr>
        <w:ind w:left="3600" w:firstLine="0"/>
      </w:pPr>
    </w:lvl>
    <w:lvl w:ilvl="4">
      <w:start w:val="1"/>
      <w:numFmt w:val="lowerLetter"/>
      <w:lvlText w:val="%5."/>
      <w:lvlJc w:val="left"/>
      <w:pPr>
        <w:ind w:left="4320" w:firstLine="0"/>
      </w:pPr>
    </w:lvl>
    <w:lvl w:ilvl="5">
      <w:start w:val="1"/>
      <w:numFmt w:val="lowerRoman"/>
      <w:lvlText w:val="%6."/>
      <w:lvlJc w:val="right"/>
      <w:pPr>
        <w:ind w:left="5040" w:firstLine="0"/>
      </w:pPr>
    </w:lvl>
    <w:lvl w:ilvl="6">
      <w:start w:val="1"/>
      <w:numFmt w:val="decimal"/>
      <w:lvlText w:val="%7."/>
      <w:lvlJc w:val="left"/>
      <w:pPr>
        <w:ind w:left="5760" w:firstLine="0"/>
      </w:pPr>
    </w:lvl>
    <w:lvl w:ilvl="7">
      <w:start w:val="1"/>
      <w:numFmt w:val="lowerLetter"/>
      <w:lvlText w:val="%8."/>
      <w:lvlJc w:val="left"/>
      <w:pPr>
        <w:ind w:left="6480" w:firstLine="0"/>
      </w:pPr>
    </w:lvl>
    <w:lvl w:ilvl="8">
      <w:start w:val="1"/>
      <w:numFmt w:val="lowerRoman"/>
      <w:lvlText w:val="%9."/>
      <w:lvlJc w:val="right"/>
      <w:pPr>
        <w:ind w:left="7200" w:firstLine="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8B1259"/>
    <w:rsid w:val="00026EBC"/>
    <w:rsid w:val="00054D0F"/>
    <w:rsid w:val="00080CD8"/>
    <w:rsid w:val="0036380A"/>
    <w:rsid w:val="00365FFA"/>
    <w:rsid w:val="0037012E"/>
    <w:rsid w:val="003B5AB9"/>
    <w:rsid w:val="00437BEC"/>
    <w:rsid w:val="0046395F"/>
    <w:rsid w:val="004718A5"/>
    <w:rsid w:val="005617F9"/>
    <w:rsid w:val="00634A79"/>
    <w:rsid w:val="006C720E"/>
    <w:rsid w:val="00767E7B"/>
    <w:rsid w:val="00853CDA"/>
    <w:rsid w:val="00870DB3"/>
    <w:rsid w:val="008B1259"/>
    <w:rsid w:val="008D6A57"/>
    <w:rsid w:val="0095016A"/>
    <w:rsid w:val="009A10B6"/>
    <w:rsid w:val="009C6211"/>
    <w:rsid w:val="00AB4083"/>
    <w:rsid w:val="00B44839"/>
    <w:rsid w:val="00B4552A"/>
    <w:rsid w:val="00B7428F"/>
    <w:rsid w:val="00C82CC3"/>
    <w:rsid w:val="00CC124F"/>
    <w:rsid w:val="00D767E0"/>
    <w:rsid w:val="00E45D8F"/>
    <w:rsid w:val="00E72A37"/>
    <w:rsid w:val="00E85D77"/>
    <w:rsid w:val="00ED5F3F"/>
    <w:rsid w:val="00F9177F"/>
    <w:rsid w:val="00FB1BB4"/>
    <w:rsid w:val="00FB6975"/>
    <w:rsid w:val="00FC7A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12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8B1259"/>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8B1259"/>
    <w:rPr>
      <w:rFonts w:ascii="Tahoma" w:hAnsi="Tahoma" w:cs="Tahoma"/>
      <w:sz w:val="16"/>
      <w:szCs w:val="16"/>
    </w:rPr>
  </w:style>
  <w:style w:type="table" w:styleId="TableGrid">
    <w:name w:val="Table Grid"/>
    <w:basedOn w:val="TableNormal"/>
    <w:uiPriority w:val="59"/>
    <w:rsid w:val="00B4483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5617F9"/>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967</Words>
  <Characters>5515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shuja.naik</dc:creator>
  <cp:lastModifiedBy>mukesh_kumar</cp:lastModifiedBy>
  <cp:revision>7</cp:revision>
  <cp:lastPrinted>2018-04-20T12:33:00Z</cp:lastPrinted>
  <dcterms:created xsi:type="dcterms:W3CDTF">2018-04-17T08:48:00Z</dcterms:created>
  <dcterms:modified xsi:type="dcterms:W3CDTF">2018-04-20T12:33:00Z</dcterms:modified>
</cp:coreProperties>
</file>