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6D6" w:rsidRDefault="00C569CF" w:rsidP="004054F0">
      <w:pPr>
        <w:spacing w:line="240" w:lineRule="auto"/>
        <w:jc w:val="center"/>
        <w:outlineLvl w:val="0"/>
        <w:rPr>
          <w:sz w:val="24"/>
          <w:szCs w:val="24"/>
          <w:u w:val="single"/>
        </w:rPr>
      </w:pPr>
      <w:proofErr w:type="gramStart"/>
      <w:r w:rsidRPr="004054F0">
        <w:rPr>
          <w:sz w:val="24"/>
          <w:szCs w:val="24"/>
          <w:u w:val="single"/>
        </w:rPr>
        <w:t>Corrigendum</w:t>
      </w:r>
      <w:r w:rsidR="00AD3037" w:rsidRPr="004054F0">
        <w:rPr>
          <w:sz w:val="24"/>
          <w:szCs w:val="24"/>
          <w:u w:val="single"/>
        </w:rPr>
        <w:t>-1</w:t>
      </w:r>
      <w:r w:rsidR="009E72FC" w:rsidRPr="004054F0">
        <w:rPr>
          <w:sz w:val="24"/>
          <w:szCs w:val="24"/>
          <w:u w:val="single"/>
        </w:rPr>
        <w:t xml:space="preserve"> to RFP No.</w:t>
      </w:r>
      <w:proofErr w:type="gramEnd"/>
      <w:r w:rsidR="009E72FC" w:rsidRPr="004054F0">
        <w:rPr>
          <w:sz w:val="24"/>
          <w:szCs w:val="24"/>
          <w:u w:val="single"/>
        </w:rPr>
        <w:t xml:space="preserve"> </w:t>
      </w:r>
      <w:r w:rsidR="0013521D">
        <w:rPr>
          <w:sz w:val="24"/>
          <w:szCs w:val="24"/>
          <w:u w:val="single"/>
        </w:rPr>
        <w:t>T-11014/72/2018</w:t>
      </w:r>
      <w:r w:rsidR="00AD3037" w:rsidRPr="004054F0">
        <w:rPr>
          <w:sz w:val="24"/>
          <w:szCs w:val="24"/>
          <w:u w:val="single"/>
        </w:rPr>
        <w:t>-Tech</w:t>
      </w:r>
    </w:p>
    <w:p w:rsidR="0013521D" w:rsidRDefault="0013521D" w:rsidP="004054F0">
      <w:pPr>
        <w:spacing w:line="240" w:lineRule="auto"/>
        <w:jc w:val="center"/>
        <w:outlineLvl w:val="0"/>
        <w:rPr>
          <w:sz w:val="24"/>
          <w:szCs w:val="24"/>
          <w:u w:val="single"/>
        </w:rPr>
      </w:pPr>
    </w:p>
    <w:tbl>
      <w:tblPr>
        <w:tblW w:w="13279" w:type="dxa"/>
        <w:jc w:val="center"/>
        <w:tblLayout w:type="fixed"/>
        <w:tblCellMar>
          <w:left w:w="115" w:type="dxa"/>
          <w:right w:w="115" w:type="dxa"/>
        </w:tblCellMar>
        <w:tblLook w:val="04A0"/>
      </w:tblPr>
      <w:tblGrid>
        <w:gridCol w:w="795"/>
        <w:gridCol w:w="1701"/>
        <w:gridCol w:w="993"/>
        <w:gridCol w:w="4902"/>
        <w:gridCol w:w="4888"/>
      </w:tblGrid>
      <w:tr w:rsidR="0013521D" w:rsidRPr="00505CB5" w:rsidTr="00DC1438">
        <w:trPr>
          <w:tblHeader/>
          <w:jc w:val="center"/>
        </w:trPr>
        <w:tc>
          <w:tcPr>
            <w:tcW w:w="79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13521D" w:rsidRPr="00505CB5" w:rsidRDefault="0013521D" w:rsidP="00877F64">
            <w:pPr>
              <w:spacing w:after="0" w:line="240" w:lineRule="auto"/>
              <w:jc w:val="center"/>
              <w:rPr>
                <w:rFonts w:eastAsia="Times New Roman" w:cs="Times New Roman"/>
                <w:b/>
                <w:color w:val="000000"/>
                <w:sz w:val="24"/>
                <w:szCs w:val="24"/>
                <w:lang w:bidi="hi-IN"/>
              </w:rPr>
            </w:pPr>
            <w:r w:rsidRPr="00505CB5">
              <w:rPr>
                <w:rFonts w:eastAsia="Times New Roman" w:cs="Times New Roman"/>
                <w:b/>
                <w:color w:val="000000"/>
                <w:sz w:val="24"/>
                <w:szCs w:val="24"/>
                <w:lang w:bidi="hi-IN"/>
              </w:rPr>
              <w:t>S. No.</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hideMark/>
          </w:tcPr>
          <w:p w:rsidR="0013521D" w:rsidRPr="00505CB5" w:rsidRDefault="0013521D" w:rsidP="00877F64">
            <w:pPr>
              <w:spacing w:after="0" w:line="240" w:lineRule="auto"/>
              <w:ind w:left="-80"/>
              <w:jc w:val="center"/>
              <w:rPr>
                <w:rFonts w:eastAsia="Times New Roman" w:cs="Times New Roman"/>
                <w:b/>
                <w:color w:val="000000"/>
                <w:sz w:val="24"/>
                <w:szCs w:val="24"/>
                <w:lang w:bidi="hi-IN"/>
              </w:rPr>
            </w:pPr>
            <w:r w:rsidRPr="00505CB5">
              <w:rPr>
                <w:rFonts w:eastAsia="Times New Roman" w:cs="Times New Roman"/>
                <w:b/>
                <w:color w:val="000000"/>
                <w:sz w:val="24"/>
                <w:szCs w:val="24"/>
                <w:lang w:bidi="hi-IN"/>
              </w:rPr>
              <w:t>Clause No.</w:t>
            </w:r>
          </w:p>
        </w:tc>
        <w:tc>
          <w:tcPr>
            <w:tcW w:w="993" w:type="dxa"/>
            <w:tcBorders>
              <w:top w:val="single" w:sz="4" w:space="0" w:color="auto"/>
              <w:left w:val="nil"/>
              <w:bottom w:val="single" w:sz="4" w:space="0" w:color="auto"/>
              <w:right w:val="single" w:sz="4" w:space="0" w:color="auto"/>
            </w:tcBorders>
            <w:shd w:val="clear" w:color="auto" w:fill="EEECE1" w:themeFill="background2"/>
            <w:vAlign w:val="center"/>
            <w:hideMark/>
          </w:tcPr>
          <w:p w:rsidR="0013521D" w:rsidRPr="00505CB5" w:rsidRDefault="0013521D" w:rsidP="00877F64">
            <w:pPr>
              <w:spacing w:after="0" w:line="240" w:lineRule="auto"/>
              <w:ind w:left="-108"/>
              <w:jc w:val="center"/>
              <w:rPr>
                <w:rFonts w:eastAsia="Times New Roman" w:cs="Times New Roman"/>
                <w:b/>
                <w:color w:val="000000"/>
                <w:sz w:val="24"/>
                <w:szCs w:val="24"/>
                <w:lang w:bidi="hi-IN"/>
              </w:rPr>
            </w:pPr>
            <w:r w:rsidRPr="00505CB5">
              <w:rPr>
                <w:rFonts w:eastAsia="Times New Roman" w:cs="Times New Roman"/>
                <w:b/>
                <w:color w:val="000000"/>
                <w:sz w:val="24"/>
                <w:szCs w:val="24"/>
                <w:lang w:bidi="hi-IN"/>
              </w:rPr>
              <w:t>RFP Pg. No.</w:t>
            </w:r>
          </w:p>
        </w:tc>
        <w:tc>
          <w:tcPr>
            <w:tcW w:w="4902" w:type="dxa"/>
            <w:tcBorders>
              <w:top w:val="single" w:sz="4" w:space="0" w:color="auto"/>
              <w:left w:val="nil"/>
              <w:bottom w:val="single" w:sz="4" w:space="0" w:color="auto"/>
              <w:right w:val="single" w:sz="4" w:space="0" w:color="auto"/>
            </w:tcBorders>
            <w:shd w:val="clear" w:color="auto" w:fill="EEECE1" w:themeFill="background2"/>
            <w:vAlign w:val="center"/>
            <w:hideMark/>
          </w:tcPr>
          <w:p w:rsidR="0013521D" w:rsidRPr="00505CB5" w:rsidRDefault="0013521D" w:rsidP="00877F64">
            <w:pPr>
              <w:spacing w:after="0" w:line="240" w:lineRule="auto"/>
              <w:jc w:val="center"/>
              <w:rPr>
                <w:rFonts w:eastAsia="Times New Roman" w:cs="Times New Roman"/>
                <w:b/>
                <w:color w:val="000000"/>
                <w:sz w:val="24"/>
                <w:szCs w:val="24"/>
                <w:lang w:bidi="hi-IN"/>
              </w:rPr>
            </w:pPr>
            <w:r w:rsidRPr="00505CB5">
              <w:rPr>
                <w:rFonts w:eastAsia="Times New Roman" w:cs="Times New Roman"/>
                <w:b/>
                <w:color w:val="000000"/>
                <w:sz w:val="24"/>
                <w:szCs w:val="24"/>
                <w:lang w:bidi="hi-IN"/>
              </w:rPr>
              <w:t>Existing Clause as per RFP</w:t>
            </w:r>
          </w:p>
        </w:tc>
        <w:tc>
          <w:tcPr>
            <w:tcW w:w="4888" w:type="dxa"/>
            <w:tcBorders>
              <w:top w:val="single" w:sz="4" w:space="0" w:color="auto"/>
              <w:left w:val="nil"/>
              <w:bottom w:val="single" w:sz="4" w:space="0" w:color="auto"/>
              <w:right w:val="single" w:sz="4" w:space="0" w:color="auto"/>
            </w:tcBorders>
            <w:shd w:val="clear" w:color="auto" w:fill="EEECE1" w:themeFill="background2"/>
            <w:vAlign w:val="center"/>
            <w:hideMark/>
          </w:tcPr>
          <w:p w:rsidR="0013521D" w:rsidRPr="00505CB5" w:rsidRDefault="000809C8" w:rsidP="00877F64">
            <w:pPr>
              <w:spacing w:after="0" w:line="240" w:lineRule="auto"/>
              <w:jc w:val="center"/>
              <w:rPr>
                <w:rFonts w:eastAsia="Times New Roman" w:cs="Times New Roman"/>
                <w:b/>
                <w:color w:val="000000"/>
                <w:sz w:val="24"/>
                <w:szCs w:val="24"/>
                <w:lang w:bidi="hi-IN"/>
              </w:rPr>
            </w:pPr>
            <w:r w:rsidRPr="00505CB5">
              <w:rPr>
                <w:rFonts w:eastAsia="Times New Roman" w:cs="Times New Roman"/>
                <w:b/>
                <w:color w:val="000000"/>
                <w:sz w:val="24"/>
                <w:szCs w:val="24"/>
                <w:lang w:bidi="hi-IN"/>
              </w:rPr>
              <w:t>Modified Clause</w:t>
            </w: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1</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Pr>
                <w:rFonts w:eastAsia="Times New Roman" w:cs="Times New Roman"/>
                <w:bCs/>
                <w:color w:val="000000"/>
                <w:sz w:val="24"/>
                <w:szCs w:val="24"/>
                <w:lang w:bidi="hi-IN"/>
              </w:rPr>
              <w:t>1.3.3(ii)</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Pr>
                <w:rFonts w:eastAsia="Times New Roman" w:cs="Times New Roman"/>
                <w:bCs/>
                <w:color w:val="000000"/>
                <w:sz w:val="24"/>
                <w:szCs w:val="24"/>
                <w:lang w:bidi="hi-IN"/>
              </w:rPr>
              <w:t>10</w:t>
            </w:r>
          </w:p>
        </w:tc>
        <w:tc>
          <w:tcPr>
            <w:tcW w:w="4902"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jc w:val="both"/>
              <w:rPr>
                <w:rFonts w:eastAsia="Times New Roman" w:cs="Times New Roman"/>
                <w:bCs/>
                <w:color w:val="000000"/>
                <w:sz w:val="24"/>
                <w:szCs w:val="24"/>
                <w:lang w:bidi="hi-IN"/>
              </w:rPr>
            </w:pPr>
            <w:r w:rsidRPr="001842B2">
              <w:rPr>
                <w:rFonts w:eastAsia="Times New Roman" w:cs="Times New Roman"/>
                <w:bCs/>
                <w:color w:val="000000"/>
                <w:sz w:val="24"/>
                <w:szCs w:val="24"/>
                <w:lang w:bidi="hi-IN"/>
              </w:rPr>
              <w:t>Submission of the Cost of the RFP in the form of BoQ_P2P_Links.xls (Annex 4.2.2) and uploading the soft copy</w:t>
            </w:r>
          </w:p>
        </w:tc>
        <w:tc>
          <w:tcPr>
            <w:tcW w:w="4888" w:type="dxa"/>
            <w:tcBorders>
              <w:top w:val="single" w:sz="4" w:space="0" w:color="auto"/>
              <w:left w:val="nil"/>
              <w:bottom w:val="single" w:sz="4" w:space="0" w:color="auto"/>
              <w:right w:val="single" w:sz="4" w:space="0" w:color="auto"/>
            </w:tcBorders>
            <w:shd w:val="clear" w:color="auto" w:fill="auto"/>
            <w:hideMark/>
          </w:tcPr>
          <w:p w:rsidR="00DA01E2" w:rsidRPr="00505CB5" w:rsidRDefault="00C865BB" w:rsidP="00C865BB">
            <w:pPr>
              <w:spacing w:line="240" w:lineRule="auto"/>
              <w:jc w:val="both"/>
              <w:rPr>
                <w:rFonts w:eastAsia="Times New Roman" w:cs="Times New Roman"/>
                <w:bCs/>
                <w:color w:val="000000"/>
                <w:sz w:val="24"/>
                <w:szCs w:val="24"/>
                <w:lang w:bidi="hi-IN"/>
              </w:rPr>
            </w:pPr>
            <w:r>
              <w:rPr>
                <w:rFonts w:eastAsia="Times New Roman" w:cs="Times New Roman"/>
                <w:b/>
                <w:color w:val="000000"/>
                <w:sz w:val="24"/>
                <w:szCs w:val="24"/>
                <w:lang w:bidi="hi-IN"/>
              </w:rPr>
              <w:t xml:space="preserve">Priced, signed and scanned copy of Commercial Bid Form (Annex 4.2.2), and priced </w:t>
            </w:r>
            <w:proofErr w:type="spellStart"/>
            <w:r>
              <w:rPr>
                <w:rFonts w:eastAsia="Times New Roman" w:cs="Times New Roman"/>
                <w:b/>
                <w:color w:val="000000"/>
                <w:sz w:val="24"/>
                <w:szCs w:val="24"/>
                <w:lang w:bidi="hi-IN"/>
              </w:rPr>
              <w:t>BoQ</w:t>
            </w:r>
            <w:proofErr w:type="spellEnd"/>
            <w:r>
              <w:rPr>
                <w:rFonts w:eastAsia="Times New Roman" w:cs="Times New Roman"/>
                <w:b/>
                <w:color w:val="000000"/>
                <w:sz w:val="24"/>
                <w:szCs w:val="24"/>
                <w:lang w:bidi="hi-IN"/>
              </w:rPr>
              <w:t xml:space="preserve"> excel file to be uploaded</w:t>
            </w: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2</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A70FD9">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2.21(1)</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sidRPr="00505CB5">
              <w:rPr>
                <w:rFonts w:eastAsia="Times New Roman" w:cs="Times New Roman"/>
                <w:bCs/>
                <w:color w:val="000000"/>
                <w:sz w:val="24"/>
                <w:szCs w:val="24"/>
                <w:lang w:bidi="hi-IN"/>
              </w:rPr>
              <w:t>21</w:t>
            </w:r>
          </w:p>
        </w:tc>
        <w:tc>
          <w:tcPr>
            <w:tcW w:w="4902" w:type="dxa"/>
            <w:tcBorders>
              <w:top w:val="single" w:sz="4" w:space="0" w:color="auto"/>
              <w:left w:val="nil"/>
              <w:bottom w:val="single" w:sz="4" w:space="0" w:color="auto"/>
              <w:right w:val="single" w:sz="4" w:space="0" w:color="auto"/>
            </w:tcBorders>
            <w:shd w:val="clear" w:color="auto" w:fill="auto"/>
            <w:hideMark/>
          </w:tcPr>
          <w:p w:rsidR="00C52FE3" w:rsidRPr="00C52FE3" w:rsidRDefault="00C52FE3" w:rsidP="00C52FE3">
            <w:pPr>
              <w:pStyle w:val="Default"/>
              <w:jc w:val="both"/>
            </w:pPr>
            <w:r w:rsidRPr="00C52FE3">
              <w:t xml:space="preserve">Bid Securing declaration/Bank Guarantee for EMD. </w:t>
            </w:r>
          </w:p>
          <w:p w:rsidR="00C52FE3" w:rsidRPr="00C52FE3" w:rsidRDefault="00C52FE3" w:rsidP="00C52FE3">
            <w:pPr>
              <w:pStyle w:val="Default"/>
              <w:jc w:val="both"/>
            </w:pPr>
            <w:r w:rsidRPr="00C52FE3">
              <w:t>Bidders who are Micro and small enterprises (MSEs) as defined in MSE procurement policy issued by Department of MSME or registered with the Central purchase organization or concerned ministry or department or start up as recognized by Department of Industrial policy and promotion ( DIPP) are exempted from payment of EMD.</w:t>
            </w:r>
          </w:p>
          <w:p w:rsidR="00DA01E2" w:rsidRPr="003E5507" w:rsidRDefault="00C52FE3" w:rsidP="00C52FE3">
            <w:pPr>
              <w:pStyle w:val="Default"/>
              <w:jc w:val="both"/>
              <w:rPr>
                <w:b/>
                <w:bCs/>
              </w:rPr>
            </w:pPr>
            <w:r w:rsidRPr="00C52FE3">
              <w:t>In this case, the bidder must upload copy of valid registration certificate</w:t>
            </w:r>
          </w:p>
        </w:tc>
        <w:tc>
          <w:tcPr>
            <w:tcW w:w="4888" w:type="dxa"/>
            <w:tcBorders>
              <w:top w:val="single" w:sz="4" w:space="0" w:color="auto"/>
              <w:left w:val="nil"/>
              <w:bottom w:val="single" w:sz="4" w:space="0" w:color="auto"/>
              <w:right w:val="single" w:sz="4" w:space="0" w:color="auto"/>
            </w:tcBorders>
            <w:shd w:val="clear" w:color="auto" w:fill="auto"/>
            <w:hideMark/>
          </w:tcPr>
          <w:p w:rsidR="00C52FE3" w:rsidRPr="00C52FE3" w:rsidRDefault="00C52FE3" w:rsidP="00C52FE3">
            <w:pPr>
              <w:pStyle w:val="Default"/>
              <w:jc w:val="both"/>
            </w:pPr>
            <w:r w:rsidRPr="00C52FE3">
              <w:t xml:space="preserve">Bid Securing declaration/Bank Guarantee for EMD. </w:t>
            </w:r>
          </w:p>
          <w:p w:rsidR="00C52FE3" w:rsidRPr="00C52FE3" w:rsidRDefault="00C52FE3" w:rsidP="00C52FE3">
            <w:pPr>
              <w:pStyle w:val="Default"/>
              <w:jc w:val="both"/>
            </w:pPr>
            <w:r w:rsidRPr="00C52FE3">
              <w:t xml:space="preserve">Bidders who are Micro and small enterprises (MSEs) as defined in MSE procurement policy issued by Department of MSME or registered with the Central purchase organization or </w:t>
            </w:r>
            <w:proofErr w:type="spellStart"/>
            <w:r w:rsidRPr="00A70FD9">
              <w:rPr>
                <w:b/>
                <w:bCs/>
              </w:rPr>
              <w:t>MeitY</w:t>
            </w:r>
            <w:proofErr w:type="spellEnd"/>
            <w:r w:rsidRPr="00A70FD9">
              <w:rPr>
                <w:b/>
                <w:bCs/>
              </w:rPr>
              <w:t xml:space="preserve"> </w:t>
            </w:r>
            <w:r w:rsidRPr="00C52FE3">
              <w:t>or start up as recognized by Department of Industrial policy and promotion ( DIPP) are exempted from payment of EMD.</w:t>
            </w:r>
          </w:p>
          <w:p w:rsidR="00DA01E2" w:rsidRPr="00505CB5" w:rsidRDefault="00C52FE3" w:rsidP="00C52FE3">
            <w:pPr>
              <w:spacing w:line="240" w:lineRule="auto"/>
              <w:jc w:val="both"/>
              <w:rPr>
                <w:rFonts w:eastAsia="Times New Roman" w:cs="Times New Roman"/>
                <w:bCs/>
                <w:color w:val="000000"/>
                <w:sz w:val="24"/>
                <w:szCs w:val="24"/>
                <w:lang w:bidi="hi-IN"/>
              </w:rPr>
            </w:pPr>
            <w:r w:rsidRPr="00C52FE3">
              <w:t>In this case, the bidder must upload copy of valid registration certificate</w:t>
            </w:r>
          </w:p>
        </w:tc>
      </w:tr>
      <w:tr w:rsidR="0013521D"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13521D" w:rsidRPr="00505CB5" w:rsidRDefault="00CC23A2" w:rsidP="0013521D">
            <w:pPr>
              <w:spacing w:after="0"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3</w:t>
            </w:r>
          </w:p>
        </w:tc>
        <w:tc>
          <w:tcPr>
            <w:tcW w:w="1701" w:type="dxa"/>
            <w:tcBorders>
              <w:top w:val="single" w:sz="4" w:space="0" w:color="auto"/>
              <w:left w:val="nil"/>
              <w:bottom w:val="single" w:sz="4" w:space="0" w:color="auto"/>
              <w:right w:val="single" w:sz="4" w:space="0" w:color="auto"/>
            </w:tcBorders>
            <w:shd w:val="clear" w:color="auto" w:fill="auto"/>
            <w:hideMark/>
          </w:tcPr>
          <w:p w:rsidR="0013521D" w:rsidRPr="00505CB5" w:rsidRDefault="0013521D" w:rsidP="0013521D">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2.21 (4)</w:t>
            </w:r>
          </w:p>
        </w:tc>
        <w:tc>
          <w:tcPr>
            <w:tcW w:w="993" w:type="dxa"/>
            <w:tcBorders>
              <w:top w:val="single" w:sz="4" w:space="0" w:color="auto"/>
              <w:left w:val="nil"/>
              <w:bottom w:val="single" w:sz="4" w:space="0" w:color="auto"/>
              <w:right w:val="single" w:sz="4" w:space="0" w:color="auto"/>
            </w:tcBorders>
            <w:shd w:val="clear" w:color="auto" w:fill="auto"/>
            <w:hideMark/>
          </w:tcPr>
          <w:p w:rsidR="0013521D" w:rsidRPr="00505CB5" w:rsidRDefault="00453B5E" w:rsidP="0013521D">
            <w:pPr>
              <w:spacing w:line="240" w:lineRule="auto"/>
              <w:ind w:left="-108"/>
              <w:rPr>
                <w:rFonts w:eastAsia="Times New Roman" w:cs="Times New Roman"/>
                <w:bCs/>
                <w:color w:val="000000"/>
                <w:sz w:val="24"/>
                <w:szCs w:val="24"/>
                <w:lang w:bidi="hi-IN"/>
              </w:rPr>
            </w:pPr>
            <w:r>
              <w:rPr>
                <w:rFonts w:eastAsia="Times New Roman" w:cs="Times New Roman"/>
                <w:bCs/>
                <w:color w:val="000000"/>
                <w:sz w:val="24"/>
                <w:szCs w:val="24"/>
                <w:lang w:bidi="hi-IN"/>
              </w:rPr>
              <w:t>21-</w:t>
            </w:r>
            <w:r w:rsidR="0013521D" w:rsidRPr="00505CB5">
              <w:rPr>
                <w:rFonts w:eastAsia="Times New Roman" w:cs="Times New Roman"/>
                <w:bCs/>
                <w:color w:val="000000"/>
                <w:sz w:val="24"/>
                <w:szCs w:val="24"/>
                <w:lang w:bidi="hi-IN"/>
              </w:rPr>
              <w:t>2</w:t>
            </w:r>
            <w:r w:rsidR="00DA01E2">
              <w:rPr>
                <w:rFonts w:eastAsia="Times New Roman" w:cs="Times New Roman"/>
                <w:bCs/>
                <w:color w:val="000000"/>
                <w:sz w:val="24"/>
                <w:szCs w:val="24"/>
                <w:lang w:bidi="hi-IN"/>
              </w:rPr>
              <w:t>2</w:t>
            </w:r>
          </w:p>
        </w:tc>
        <w:tc>
          <w:tcPr>
            <w:tcW w:w="4902" w:type="dxa"/>
            <w:tcBorders>
              <w:top w:val="single" w:sz="4" w:space="0" w:color="auto"/>
              <w:left w:val="nil"/>
              <w:bottom w:val="single" w:sz="4" w:space="0" w:color="auto"/>
              <w:right w:val="single" w:sz="4" w:space="0" w:color="auto"/>
            </w:tcBorders>
            <w:shd w:val="clear" w:color="auto" w:fill="auto"/>
            <w:hideMark/>
          </w:tcPr>
          <w:p w:rsidR="00C74916" w:rsidRPr="00C74916" w:rsidRDefault="00C74916" w:rsidP="00C74916">
            <w:pPr>
              <w:spacing w:line="240" w:lineRule="auto"/>
              <w:jc w:val="both"/>
              <w:rPr>
                <w:rFonts w:eastAsia="Times New Roman" w:cs="Times New Roman"/>
                <w:bCs/>
                <w:color w:val="000000"/>
                <w:sz w:val="24"/>
                <w:szCs w:val="24"/>
                <w:lang w:bidi="hi-IN"/>
              </w:rPr>
            </w:pPr>
            <w:r w:rsidRPr="00C74916">
              <w:rPr>
                <w:rFonts w:eastAsia="Times New Roman" w:cs="Times New Roman"/>
                <w:bCs/>
                <w:color w:val="000000"/>
                <w:sz w:val="24"/>
                <w:szCs w:val="24"/>
                <w:lang w:bidi="hi-IN"/>
              </w:rPr>
              <w:t>Audited financial statements for the last three financial years (FY 2014-15, 2015-16, 2016-17) clearly mentioning turnover from telecom services (i.e. provisioning of Internet leased lines/P2P links/MPLS/telephony services).</w:t>
            </w:r>
          </w:p>
          <w:p w:rsidR="0013521D" w:rsidRPr="00505CB5" w:rsidRDefault="00C74916" w:rsidP="00C74916">
            <w:pPr>
              <w:spacing w:line="240" w:lineRule="auto"/>
              <w:jc w:val="both"/>
              <w:rPr>
                <w:rFonts w:eastAsia="Times New Roman" w:cs="Times New Roman"/>
                <w:bCs/>
                <w:color w:val="000000"/>
                <w:sz w:val="24"/>
                <w:szCs w:val="24"/>
                <w:lang w:bidi="hi-IN"/>
              </w:rPr>
            </w:pPr>
            <w:r w:rsidRPr="00C74916">
              <w:rPr>
                <w:rFonts w:eastAsia="Times New Roman" w:cs="Times New Roman"/>
                <w:bCs/>
                <w:color w:val="000000"/>
                <w:sz w:val="24"/>
                <w:szCs w:val="24"/>
                <w:lang w:bidi="hi-IN"/>
              </w:rPr>
              <w:t xml:space="preserve"> In case the turnover on account of telecom services(i.e. provisioning of Internet leased lines/P2P links/MPLS/telephony services) is not </w:t>
            </w:r>
            <w:r w:rsidRPr="00C74916">
              <w:rPr>
                <w:rFonts w:eastAsia="Times New Roman" w:cs="Times New Roman"/>
                <w:bCs/>
                <w:color w:val="000000"/>
                <w:sz w:val="24"/>
                <w:szCs w:val="24"/>
                <w:lang w:bidi="hi-IN"/>
              </w:rPr>
              <w:lastRenderedPageBreak/>
              <w:t>mentioned separately in the audited financial statements, the bidder shall provide a certificate from statutory auditor/ Company Secretary/ Company Auditor stating the turnover from telecom services (i.e. provisioning of Internet leased lines/P2P links/MPLS/telephony services) in the last three financial years (FY 2014-15, 2015-16, 2016-17), duly attested by company’s authorized signatory.</w:t>
            </w:r>
          </w:p>
        </w:tc>
        <w:tc>
          <w:tcPr>
            <w:tcW w:w="4888" w:type="dxa"/>
            <w:tcBorders>
              <w:top w:val="single" w:sz="4" w:space="0" w:color="auto"/>
              <w:left w:val="nil"/>
              <w:bottom w:val="single" w:sz="4" w:space="0" w:color="auto"/>
              <w:right w:val="single" w:sz="4" w:space="0" w:color="auto"/>
            </w:tcBorders>
            <w:shd w:val="clear" w:color="auto" w:fill="auto"/>
            <w:hideMark/>
          </w:tcPr>
          <w:p w:rsidR="00C74916" w:rsidRPr="00C74916" w:rsidRDefault="00C74916" w:rsidP="00C74916">
            <w:pPr>
              <w:spacing w:line="240" w:lineRule="auto"/>
              <w:jc w:val="both"/>
              <w:rPr>
                <w:rFonts w:eastAsia="Times New Roman" w:cs="Times New Roman"/>
                <w:bCs/>
                <w:color w:val="000000"/>
                <w:sz w:val="24"/>
                <w:szCs w:val="24"/>
                <w:lang w:bidi="hi-IN"/>
              </w:rPr>
            </w:pPr>
            <w:r w:rsidRPr="00C74916">
              <w:rPr>
                <w:rFonts w:eastAsia="Times New Roman" w:cs="Times New Roman"/>
                <w:bCs/>
                <w:color w:val="000000"/>
                <w:sz w:val="24"/>
                <w:szCs w:val="24"/>
                <w:lang w:bidi="hi-IN"/>
              </w:rPr>
              <w:lastRenderedPageBreak/>
              <w:t>Audited financial statements for the last three financial years (FY 2014-15, 2015-16, 2016-17) clearly mentioning turnover from telecom services (i.e. provisioning of Internet leased lines/P2P links/MPLS/telephony services).</w:t>
            </w:r>
          </w:p>
          <w:p w:rsidR="0013521D" w:rsidRPr="00505CB5" w:rsidRDefault="00C74916" w:rsidP="00C74916">
            <w:pPr>
              <w:spacing w:line="240" w:lineRule="auto"/>
              <w:jc w:val="both"/>
              <w:rPr>
                <w:rFonts w:eastAsia="Times New Roman" w:cs="Times New Roman"/>
                <w:bCs/>
                <w:color w:val="000000"/>
                <w:sz w:val="24"/>
                <w:szCs w:val="24"/>
                <w:lang w:bidi="hi-IN"/>
              </w:rPr>
            </w:pPr>
            <w:r w:rsidRPr="00C74916">
              <w:rPr>
                <w:rFonts w:eastAsia="Times New Roman" w:cs="Times New Roman"/>
                <w:bCs/>
                <w:color w:val="000000"/>
                <w:sz w:val="24"/>
                <w:szCs w:val="24"/>
                <w:lang w:bidi="hi-IN"/>
              </w:rPr>
              <w:t xml:space="preserve"> In case the turnover on account of telecom services(i.e. provisioning of Internet leased lines/P2P links/MPLS/telephony services) is not </w:t>
            </w:r>
            <w:r w:rsidRPr="00C74916">
              <w:rPr>
                <w:rFonts w:eastAsia="Times New Roman" w:cs="Times New Roman"/>
                <w:bCs/>
                <w:color w:val="000000"/>
                <w:sz w:val="24"/>
                <w:szCs w:val="24"/>
                <w:lang w:bidi="hi-IN"/>
              </w:rPr>
              <w:lastRenderedPageBreak/>
              <w:t>mentioned separately in the audited financial statements, the bidder shall provide a certificate from statutory auditor/ Company Secretary/ Company Auditor</w:t>
            </w:r>
            <w:r>
              <w:rPr>
                <w:rFonts w:eastAsia="Times New Roman" w:cs="Times New Roman"/>
                <w:bCs/>
                <w:color w:val="000000"/>
                <w:sz w:val="24"/>
                <w:szCs w:val="24"/>
                <w:lang w:bidi="hi-IN"/>
              </w:rPr>
              <w:t>/</w:t>
            </w:r>
            <w:r w:rsidRPr="00C74916">
              <w:rPr>
                <w:rFonts w:eastAsia="Times New Roman" w:cs="Times New Roman"/>
                <w:b/>
                <w:color w:val="000000"/>
                <w:sz w:val="24"/>
                <w:szCs w:val="24"/>
                <w:lang w:bidi="hi-IN"/>
              </w:rPr>
              <w:t>Authorized Signatory</w:t>
            </w:r>
            <w:r w:rsidRPr="00C74916">
              <w:rPr>
                <w:rFonts w:eastAsia="Times New Roman" w:cs="Times New Roman"/>
                <w:bCs/>
                <w:color w:val="000000"/>
                <w:sz w:val="24"/>
                <w:szCs w:val="24"/>
                <w:lang w:bidi="hi-IN"/>
              </w:rPr>
              <w:t xml:space="preserve"> stating the turnover from telecom services (i.e. provisioning of Internet leased lines/P2P links/MPLS/telephony services) in the last three financial years (FY 2014-15, 2015-16, 2016-17), duly attested by company’s authorized signatory.</w:t>
            </w: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DA01E2" w:rsidP="00C67725">
            <w:pPr>
              <w:spacing w:line="240" w:lineRule="auto"/>
              <w:rPr>
                <w:rFonts w:eastAsia="Times New Roman" w:cs="Times New Roman"/>
                <w:bCs/>
                <w:color w:val="000000"/>
                <w:sz w:val="24"/>
                <w:szCs w:val="24"/>
                <w:lang w:bidi="hi-IN"/>
              </w:rPr>
            </w:pPr>
            <w:r w:rsidRPr="00505CB5">
              <w:rPr>
                <w:rFonts w:eastAsia="Times New Roman" w:cs="Times New Roman"/>
                <w:bCs/>
                <w:color w:val="000000"/>
                <w:sz w:val="24"/>
                <w:szCs w:val="24"/>
                <w:lang w:bidi="hi-IN"/>
              </w:rPr>
              <w:lastRenderedPageBreak/>
              <w:t>4</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3.16(3c)</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sidRPr="00505CB5">
              <w:rPr>
                <w:rFonts w:eastAsia="Times New Roman" w:cs="Times New Roman"/>
                <w:bCs/>
                <w:color w:val="000000"/>
                <w:sz w:val="24"/>
                <w:szCs w:val="24"/>
                <w:lang w:bidi="hi-IN"/>
              </w:rPr>
              <w:t>39</w:t>
            </w:r>
          </w:p>
        </w:tc>
        <w:tc>
          <w:tcPr>
            <w:tcW w:w="4902" w:type="dxa"/>
            <w:tcBorders>
              <w:top w:val="single" w:sz="4" w:space="0" w:color="auto"/>
              <w:left w:val="nil"/>
              <w:bottom w:val="single" w:sz="4" w:space="0" w:color="auto"/>
              <w:right w:val="single" w:sz="4" w:space="0" w:color="auto"/>
            </w:tcBorders>
            <w:shd w:val="clear" w:color="auto" w:fill="auto"/>
            <w:hideMark/>
          </w:tcPr>
          <w:tbl>
            <w:tblPr>
              <w:tblW w:w="4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822"/>
              <w:gridCol w:w="1080"/>
              <w:gridCol w:w="900"/>
              <w:gridCol w:w="1800"/>
            </w:tblGrid>
            <w:tr w:rsidR="00DC1438" w:rsidRPr="00505CB5" w:rsidTr="00DC1438">
              <w:trPr>
                <w:trHeight w:val="229"/>
              </w:trPr>
              <w:tc>
                <w:tcPr>
                  <w:tcW w:w="822" w:type="dxa"/>
                  <w:vAlign w:val="center"/>
                </w:tcPr>
                <w:p w:rsidR="00DC1438" w:rsidRPr="00DC1438" w:rsidRDefault="00DC1438" w:rsidP="00DC1438">
                  <w:pPr>
                    <w:jc w:val="center"/>
                    <w:rPr>
                      <w:b/>
                      <w:bCs/>
                      <w:sz w:val="24"/>
                      <w:szCs w:val="24"/>
                      <w:lang w:eastAsia="en-IN"/>
                    </w:rPr>
                  </w:pPr>
                  <w:r w:rsidRPr="00DC1438">
                    <w:rPr>
                      <w:b/>
                      <w:bCs/>
                      <w:sz w:val="24"/>
                      <w:szCs w:val="24"/>
                      <w:lang w:eastAsia="en-IN"/>
                    </w:rPr>
                    <w:t>Service Para-meter</w:t>
                  </w:r>
                </w:p>
              </w:tc>
              <w:tc>
                <w:tcPr>
                  <w:tcW w:w="1080" w:type="dxa"/>
                  <w:vAlign w:val="center"/>
                </w:tcPr>
                <w:p w:rsidR="00DC1438" w:rsidRPr="00DC1438" w:rsidRDefault="00DC1438" w:rsidP="00DC1438">
                  <w:pPr>
                    <w:jc w:val="center"/>
                    <w:rPr>
                      <w:b/>
                      <w:bCs/>
                      <w:sz w:val="24"/>
                      <w:szCs w:val="24"/>
                      <w:lang w:eastAsia="en-IN"/>
                    </w:rPr>
                  </w:pPr>
                  <w:proofErr w:type="spellStart"/>
                  <w:r w:rsidRPr="00DC1438">
                    <w:rPr>
                      <w:b/>
                      <w:bCs/>
                      <w:sz w:val="24"/>
                      <w:szCs w:val="24"/>
                      <w:lang w:eastAsia="en-IN"/>
                    </w:rPr>
                    <w:t>Mea</w:t>
                  </w:r>
                  <w:proofErr w:type="spellEnd"/>
                  <w:r w:rsidRPr="00DC1438">
                    <w:rPr>
                      <w:b/>
                      <w:bCs/>
                      <w:sz w:val="24"/>
                      <w:szCs w:val="24"/>
                      <w:lang w:eastAsia="en-IN"/>
                    </w:rPr>
                    <w:t>-sure-</w:t>
                  </w:r>
                  <w:proofErr w:type="spellStart"/>
                  <w:r w:rsidRPr="00DC1438">
                    <w:rPr>
                      <w:b/>
                      <w:bCs/>
                      <w:sz w:val="24"/>
                      <w:szCs w:val="24"/>
                      <w:lang w:eastAsia="en-IN"/>
                    </w:rPr>
                    <w:t>ment</w:t>
                  </w:r>
                  <w:proofErr w:type="spellEnd"/>
                </w:p>
              </w:tc>
              <w:tc>
                <w:tcPr>
                  <w:tcW w:w="900" w:type="dxa"/>
                  <w:vAlign w:val="center"/>
                </w:tcPr>
                <w:p w:rsidR="00DC1438" w:rsidRPr="00DC1438" w:rsidRDefault="00DC1438" w:rsidP="00DC1438">
                  <w:pPr>
                    <w:jc w:val="center"/>
                    <w:rPr>
                      <w:b/>
                      <w:bCs/>
                      <w:sz w:val="24"/>
                      <w:szCs w:val="24"/>
                      <w:lang w:eastAsia="en-IN"/>
                    </w:rPr>
                  </w:pPr>
                  <w:r w:rsidRPr="00DC1438">
                    <w:rPr>
                      <w:b/>
                      <w:bCs/>
                      <w:sz w:val="24"/>
                      <w:szCs w:val="24"/>
                      <w:lang w:eastAsia="en-IN"/>
                    </w:rPr>
                    <w:t>Service Level</w:t>
                  </w:r>
                </w:p>
              </w:tc>
              <w:tc>
                <w:tcPr>
                  <w:tcW w:w="1800" w:type="dxa"/>
                  <w:vAlign w:val="center"/>
                </w:tcPr>
                <w:p w:rsidR="00DC1438" w:rsidRPr="00DC1438" w:rsidRDefault="00DC1438" w:rsidP="00DC1438">
                  <w:pPr>
                    <w:jc w:val="center"/>
                    <w:rPr>
                      <w:b/>
                      <w:bCs/>
                      <w:sz w:val="24"/>
                      <w:szCs w:val="24"/>
                      <w:lang w:eastAsia="en-IN"/>
                    </w:rPr>
                  </w:pPr>
                  <w:r w:rsidRPr="00DC1438">
                    <w:rPr>
                      <w:b/>
                      <w:bCs/>
                      <w:sz w:val="24"/>
                      <w:szCs w:val="24"/>
                    </w:rPr>
                    <w:t>Liquidated Damages</w:t>
                  </w:r>
                </w:p>
              </w:tc>
            </w:tr>
            <w:tr w:rsidR="00DC1438" w:rsidRPr="00505CB5" w:rsidTr="00DC1438">
              <w:trPr>
                <w:trHeight w:val="229"/>
              </w:trPr>
              <w:tc>
                <w:tcPr>
                  <w:tcW w:w="822" w:type="dxa"/>
                  <w:vMerge w:val="restart"/>
                </w:tcPr>
                <w:p w:rsidR="00DC1438" w:rsidRPr="00DC1438" w:rsidRDefault="00DC1438" w:rsidP="00C67725">
                  <w:pPr>
                    <w:jc w:val="both"/>
                    <w:rPr>
                      <w:sz w:val="24"/>
                      <w:szCs w:val="24"/>
                      <w:lang w:eastAsia="en-IN"/>
                    </w:rPr>
                  </w:pPr>
                  <w:r w:rsidRPr="00DC1438">
                    <w:rPr>
                      <w:sz w:val="24"/>
                      <w:szCs w:val="24"/>
                      <w:lang w:eastAsia="en-IN"/>
                    </w:rPr>
                    <w:t>Latency</w:t>
                  </w:r>
                </w:p>
              </w:tc>
              <w:tc>
                <w:tcPr>
                  <w:tcW w:w="1080" w:type="dxa"/>
                  <w:vMerge w:val="restart"/>
                </w:tcPr>
                <w:p w:rsidR="00DC1438" w:rsidRPr="00DC1438" w:rsidRDefault="00DC1438" w:rsidP="00C67725">
                  <w:pPr>
                    <w:jc w:val="both"/>
                    <w:rPr>
                      <w:sz w:val="24"/>
                      <w:szCs w:val="24"/>
                      <w:lang w:eastAsia="en-IN"/>
                    </w:rPr>
                  </w:pPr>
                  <w:r w:rsidRPr="00DC1438">
                    <w:rPr>
                      <w:sz w:val="24"/>
                      <w:szCs w:val="24"/>
                      <w:lang w:eastAsia="en-IN"/>
                    </w:rPr>
                    <w:t>Latency shall be measured monthly, based on Contract Start date after acceptance</w:t>
                  </w: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125 ms</w:t>
                  </w:r>
                </w:p>
              </w:tc>
              <w:tc>
                <w:tcPr>
                  <w:tcW w:w="1800" w:type="dxa"/>
                </w:tcPr>
                <w:p w:rsidR="00DC1438" w:rsidRPr="00505CB5" w:rsidRDefault="00DC1438" w:rsidP="00C67725">
                  <w:pPr>
                    <w:jc w:val="both"/>
                    <w:rPr>
                      <w:sz w:val="24"/>
                      <w:szCs w:val="24"/>
                    </w:rPr>
                  </w:pPr>
                  <w:r w:rsidRPr="00505CB5">
                    <w:rPr>
                      <w:sz w:val="24"/>
                      <w:szCs w:val="24"/>
                      <w:lang w:eastAsia="en-IN"/>
                    </w:rPr>
                    <w:t>NIL</w:t>
                  </w:r>
                </w:p>
              </w:tc>
            </w:tr>
            <w:tr w:rsidR="00DC1438" w:rsidRPr="00505CB5" w:rsidTr="00DC1438">
              <w:tc>
                <w:tcPr>
                  <w:tcW w:w="822"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&gt;=115 ms and &lt;125 ms</w:t>
                  </w:r>
                </w:p>
              </w:tc>
              <w:tc>
                <w:tcPr>
                  <w:tcW w:w="1800" w:type="dxa"/>
                </w:tcPr>
                <w:p w:rsidR="00DC1438" w:rsidRPr="00505CB5" w:rsidRDefault="00DC1438" w:rsidP="00C67725">
                  <w:pPr>
                    <w:jc w:val="both"/>
                    <w:rPr>
                      <w:sz w:val="24"/>
                      <w:szCs w:val="24"/>
                      <w:lang w:eastAsia="en-IN"/>
                    </w:rPr>
                  </w:pPr>
                  <w:r w:rsidRPr="00505CB5">
                    <w:rPr>
                      <w:sz w:val="24"/>
                      <w:szCs w:val="24"/>
                      <w:lang w:eastAsia="en-IN"/>
                    </w:rPr>
                    <w:t>0.1% of quarterly payment of telecom service (P2P link) charges of that particular lin</w:t>
                  </w:r>
                  <w:r w:rsidRPr="00505CB5">
                    <w:rPr>
                      <w:sz w:val="24"/>
                      <w:szCs w:val="24"/>
                    </w:rPr>
                    <w:t>k</w:t>
                  </w:r>
                </w:p>
              </w:tc>
            </w:tr>
            <w:tr w:rsidR="00DC1438" w:rsidRPr="00505CB5" w:rsidTr="00DC1438">
              <w:tc>
                <w:tcPr>
                  <w:tcW w:w="822"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&gt;=105 ms and &lt;115 ms</w:t>
                  </w:r>
                </w:p>
              </w:tc>
              <w:tc>
                <w:tcPr>
                  <w:tcW w:w="1800" w:type="dxa"/>
                </w:tcPr>
                <w:p w:rsidR="00DC1438" w:rsidRPr="00505CB5" w:rsidRDefault="00DC1438" w:rsidP="00C67725">
                  <w:pPr>
                    <w:jc w:val="both"/>
                    <w:rPr>
                      <w:sz w:val="24"/>
                      <w:szCs w:val="24"/>
                    </w:rPr>
                  </w:pPr>
                  <w:r w:rsidRPr="00505CB5">
                    <w:rPr>
                      <w:sz w:val="24"/>
                      <w:szCs w:val="24"/>
                      <w:lang w:eastAsia="en-IN"/>
                    </w:rPr>
                    <w:t xml:space="preserve">0.2% of quarterly payment of telecom service </w:t>
                  </w:r>
                  <w:r w:rsidRPr="00505CB5">
                    <w:rPr>
                      <w:sz w:val="24"/>
                      <w:szCs w:val="24"/>
                      <w:lang w:eastAsia="en-IN"/>
                    </w:rPr>
                    <w:lastRenderedPageBreak/>
                    <w:t>(P2P link) charges of that particular lin</w:t>
                  </w:r>
                  <w:r w:rsidRPr="00505CB5">
                    <w:rPr>
                      <w:sz w:val="24"/>
                      <w:szCs w:val="24"/>
                    </w:rPr>
                    <w:t>k</w:t>
                  </w:r>
                </w:p>
              </w:tc>
            </w:tr>
            <w:tr w:rsidR="00DC1438" w:rsidRPr="00505CB5" w:rsidTr="00DC1438">
              <w:tc>
                <w:tcPr>
                  <w:tcW w:w="822"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&gt;=95 ms and &lt;105 ms</w:t>
                  </w:r>
                </w:p>
              </w:tc>
              <w:tc>
                <w:tcPr>
                  <w:tcW w:w="1800" w:type="dxa"/>
                </w:tcPr>
                <w:p w:rsidR="00DC1438" w:rsidRPr="00505CB5" w:rsidRDefault="00DC1438" w:rsidP="00C67725">
                  <w:pPr>
                    <w:jc w:val="both"/>
                    <w:rPr>
                      <w:sz w:val="24"/>
                      <w:szCs w:val="24"/>
                    </w:rPr>
                  </w:pPr>
                  <w:r w:rsidRPr="00505CB5">
                    <w:rPr>
                      <w:sz w:val="24"/>
                      <w:szCs w:val="24"/>
                      <w:lang w:eastAsia="en-IN"/>
                    </w:rPr>
                    <w:t>0.4% of quarterly payment of telecom service (P2P link) charges of that particular lin</w:t>
                  </w:r>
                  <w:r w:rsidRPr="00505CB5">
                    <w:rPr>
                      <w:sz w:val="24"/>
                      <w:szCs w:val="24"/>
                    </w:rPr>
                    <w:t>k</w:t>
                  </w:r>
                </w:p>
              </w:tc>
            </w:tr>
            <w:tr w:rsidR="00DC1438" w:rsidRPr="00505CB5" w:rsidTr="00DC1438">
              <w:tc>
                <w:tcPr>
                  <w:tcW w:w="822"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&gt;=85 ms and &lt;95 ms</w:t>
                  </w:r>
                </w:p>
              </w:tc>
              <w:tc>
                <w:tcPr>
                  <w:tcW w:w="1800" w:type="dxa"/>
                </w:tcPr>
                <w:p w:rsidR="00DC1438" w:rsidRPr="00505CB5" w:rsidRDefault="00DC1438" w:rsidP="00C67725">
                  <w:pPr>
                    <w:jc w:val="both"/>
                    <w:rPr>
                      <w:sz w:val="24"/>
                      <w:szCs w:val="24"/>
                    </w:rPr>
                  </w:pPr>
                  <w:r w:rsidRPr="00505CB5">
                    <w:rPr>
                      <w:sz w:val="24"/>
                      <w:szCs w:val="24"/>
                      <w:lang w:eastAsia="en-IN"/>
                    </w:rPr>
                    <w:t>0.5% of quarterly payment  of telecom service (P2P link) charges of that particular lin</w:t>
                  </w:r>
                  <w:r w:rsidRPr="00505CB5">
                    <w:rPr>
                      <w:sz w:val="24"/>
                      <w:szCs w:val="24"/>
                    </w:rPr>
                    <w:t>k</w:t>
                  </w:r>
                </w:p>
              </w:tc>
            </w:tr>
            <w:tr w:rsidR="00DC1438" w:rsidRPr="00505CB5" w:rsidTr="00DC1438">
              <w:tc>
                <w:tcPr>
                  <w:tcW w:w="822"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900" w:type="dxa"/>
                </w:tcPr>
                <w:p w:rsidR="00DC1438" w:rsidRPr="00505CB5" w:rsidRDefault="00DC1438" w:rsidP="00C67725">
                  <w:pPr>
                    <w:jc w:val="both"/>
                    <w:rPr>
                      <w:b/>
                      <w:bCs/>
                      <w:sz w:val="24"/>
                      <w:szCs w:val="24"/>
                      <w:lang w:eastAsia="en-IN"/>
                    </w:rPr>
                  </w:pPr>
                  <w:r w:rsidRPr="00505CB5">
                    <w:rPr>
                      <w:b/>
                      <w:bCs/>
                      <w:sz w:val="24"/>
                      <w:szCs w:val="24"/>
                      <w:lang w:eastAsia="en-IN"/>
                    </w:rPr>
                    <w:t>&lt;85 ms</w:t>
                  </w:r>
                </w:p>
              </w:tc>
              <w:tc>
                <w:tcPr>
                  <w:tcW w:w="1800" w:type="dxa"/>
                </w:tcPr>
                <w:p w:rsidR="00DC1438" w:rsidRPr="00505CB5" w:rsidRDefault="00DC1438" w:rsidP="00C67725">
                  <w:pPr>
                    <w:jc w:val="both"/>
                    <w:rPr>
                      <w:sz w:val="24"/>
                      <w:szCs w:val="24"/>
                    </w:rPr>
                  </w:pPr>
                  <w:r w:rsidRPr="00505CB5">
                    <w:rPr>
                      <w:sz w:val="24"/>
                      <w:szCs w:val="24"/>
                      <w:lang w:eastAsia="en-IN"/>
                    </w:rPr>
                    <w:t>1% of quarterly payment of telecom service (P2P link) charges of that particular lin</w:t>
                  </w:r>
                  <w:r w:rsidRPr="00505CB5">
                    <w:rPr>
                      <w:sz w:val="24"/>
                      <w:szCs w:val="24"/>
                    </w:rPr>
                    <w:t>k</w:t>
                  </w:r>
                </w:p>
              </w:tc>
            </w:tr>
          </w:tbl>
          <w:p w:rsidR="00DA01E2" w:rsidRDefault="00DA01E2" w:rsidP="00C67725">
            <w:pPr>
              <w:spacing w:line="240" w:lineRule="auto"/>
              <w:jc w:val="both"/>
              <w:rPr>
                <w:rFonts w:eastAsia="Times New Roman" w:cs="Times New Roman"/>
                <w:bCs/>
                <w:color w:val="000000"/>
                <w:sz w:val="24"/>
                <w:szCs w:val="24"/>
                <w:lang w:bidi="hi-IN"/>
              </w:rPr>
            </w:pPr>
          </w:p>
          <w:p w:rsidR="0025612F" w:rsidRPr="00505CB5" w:rsidRDefault="0025612F" w:rsidP="00C67725">
            <w:pPr>
              <w:spacing w:line="240" w:lineRule="auto"/>
              <w:jc w:val="both"/>
              <w:rPr>
                <w:rFonts w:eastAsia="Times New Roman" w:cs="Times New Roman"/>
                <w:bCs/>
                <w:color w:val="000000"/>
                <w:sz w:val="24"/>
                <w:szCs w:val="24"/>
                <w:lang w:bidi="hi-IN"/>
              </w:rPr>
            </w:pPr>
          </w:p>
        </w:tc>
        <w:tc>
          <w:tcPr>
            <w:tcW w:w="4888" w:type="dxa"/>
            <w:tcBorders>
              <w:top w:val="single" w:sz="4" w:space="0" w:color="auto"/>
              <w:left w:val="nil"/>
              <w:bottom w:val="single" w:sz="4" w:space="0" w:color="auto"/>
              <w:right w:val="single" w:sz="4" w:space="0" w:color="auto"/>
            </w:tcBorders>
            <w:shd w:val="clear" w:color="auto" w:fill="auto"/>
            <w:hideMark/>
          </w:tcPr>
          <w:tbl>
            <w:tblPr>
              <w:tblW w:w="4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870"/>
              <w:gridCol w:w="1080"/>
              <w:gridCol w:w="810"/>
              <w:gridCol w:w="1842"/>
            </w:tblGrid>
            <w:tr w:rsidR="00DC1438" w:rsidRPr="00505CB5" w:rsidTr="00160E91">
              <w:trPr>
                <w:trHeight w:val="229"/>
              </w:trPr>
              <w:tc>
                <w:tcPr>
                  <w:tcW w:w="870" w:type="dxa"/>
                  <w:vAlign w:val="center"/>
                </w:tcPr>
                <w:p w:rsidR="00DC1438" w:rsidRPr="00DC1438" w:rsidRDefault="00DC1438" w:rsidP="00C67725">
                  <w:pPr>
                    <w:jc w:val="center"/>
                    <w:rPr>
                      <w:b/>
                      <w:bCs/>
                      <w:sz w:val="24"/>
                      <w:szCs w:val="24"/>
                      <w:lang w:eastAsia="en-IN"/>
                    </w:rPr>
                  </w:pPr>
                  <w:r w:rsidRPr="00DC1438">
                    <w:rPr>
                      <w:b/>
                      <w:bCs/>
                      <w:sz w:val="24"/>
                      <w:szCs w:val="24"/>
                      <w:lang w:eastAsia="en-IN"/>
                    </w:rPr>
                    <w:lastRenderedPageBreak/>
                    <w:t>Service Para-meter</w:t>
                  </w:r>
                </w:p>
              </w:tc>
              <w:tc>
                <w:tcPr>
                  <w:tcW w:w="1080" w:type="dxa"/>
                  <w:vAlign w:val="center"/>
                </w:tcPr>
                <w:p w:rsidR="00DC1438" w:rsidRPr="00DC1438" w:rsidRDefault="00DC1438" w:rsidP="00C67725">
                  <w:pPr>
                    <w:jc w:val="center"/>
                    <w:rPr>
                      <w:b/>
                      <w:bCs/>
                      <w:sz w:val="24"/>
                      <w:szCs w:val="24"/>
                      <w:lang w:eastAsia="en-IN"/>
                    </w:rPr>
                  </w:pPr>
                  <w:proofErr w:type="spellStart"/>
                  <w:r w:rsidRPr="00DC1438">
                    <w:rPr>
                      <w:b/>
                      <w:bCs/>
                      <w:sz w:val="24"/>
                      <w:szCs w:val="24"/>
                      <w:lang w:eastAsia="en-IN"/>
                    </w:rPr>
                    <w:t>Mea</w:t>
                  </w:r>
                  <w:proofErr w:type="spellEnd"/>
                  <w:r w:rsidRPr="00DC1438">
                    <w:rPr>
                      <w:b/>
                      <w:bCs/>
                      <w:sz w:val="24"/>
                      <w:szCs w:val="24"/>
                      <w:lang w:eastAsia="en-IN"/>
                    </w:rPr>
                    <w:t>-sure-</w:t>
                  </w:r>
                  <w:proofErr w:type="spellStart"/>
                  <w:r w:rsidRPr="00DC1438">
                    <w:rPr>
                      <w:b/>
                      <w:bCs/>
                      <w:sz w:val="24"/>
                      <w:szCs w:val="24"/>
                      <w:lang w:eastAsia="en-IN"/>
                    </w:rPr>
                    <w:t>ment</w:t>
                  </w:r>
                  <w:proofErr w:type="spellEnd"/>
                </w:p>
              </w:tc>
              <w:tc>
                <w:tcPr>
                  <w:tcW w:w="810" w:type="dxa"/>
                  <w:vAlign w:val="center"/>
                </w:tcPr>
                <w:p w:rsidR="00DC1438" w:rsidRPr="00DC1438" w:rsidRDefault="00DC1438" w:rsidP="00C67725">
                  <w:pPr>
                    <w:jc w:val="center"/>
                    <w:rPr>
                      <w:b/>
                      <w:bCs/>
                      <w:sz w:val="24"/>
                      <w:szCs w:val="24"/>
                      <w:lang w:eastAsia="en-IN"/>
                    </w:rPr>
                  </w:pPr>
                  <w:r w:rsidRPr="00DC1438">
                    <w:rPr>
                      <w:b/>
                      <w:bCs/>
                      <w:sz w:val="24"/>
                      <w:szCs w:val="24"/>
                      <w:lang w:eastAsia="en-IN"/>
                    </w:rPr>
                    <w:t>Service Level</w:t>
                  </w:r>
                </w:p>
              </w:tc>
              <w:tc>
                <w:tcPr>
                  <w:tcW w:w="1842" w:type="dxa"/>
                  <w:vAlign w:val="center"/>
                </w:tcPr>
                <w:p w:rsidR="00DC1438" w:rsidRPr="00DC1438" w:rsidRDefault="00DC1438" w:rsidP="00C67725">
                  <w:pPr>
                    <w:jc w:val="center"/>
                    <w:rPr>
                      <w:b/>
                      <w:bCs/>
                      <w:sz w:val="24"/>
                      <w:szCs w:val="24"/>
                      <w:lang w:eastAsia="en-IN"/>
                    </w:rPr>
                  </w:pPr>
                  <w:r w:rsidRPr="00DC1438">
                    <w:rPr>
                      <w:b/>
                      <w:bCs/>
                      <w:sz w:val="24"/>
                      <w:szCs w:val="24"/>
                    </w:rPr>
                    <w:t>Liquidated Damages</w:t>
                  </w:r>
                </w:p>
              </w:tc>
            </w:tr>
            <w:tr w:rsidR="00DC1438" w:rsidRPr="00505CB5" w:rsidTr="00160E91">
              <w:trPr>
                <w:trHeight w:val="229"/>
              </w:trPr>
              <w:tc>
                <w:tcPr>
                  <w:tcW w:w="870" w:type="dxa"/>
                  <w:vMerge w:val="restart"/>
                </w:tcPr>
                <w:p w:rsidR="00DC1438" w:rsidRPr="00DC1438" w:rsidRDefault="00DC1438" w:rsidP="00C67725">
                  <w:pPr>
                    <w:jc w:val="both"/>
                    <w:rPr>
                      <w:sz w:val="24"/>
                      <w:szCs w:val="24"/>
                      <w:lang w:eastAsia="en-IN"/>
                    </w:rPr>
                  </w:pPr>
                  <w:r w:rsidRPr="00DC1438">
                    <w:rPr>
                      <w:sz w:val="24"/>
                      <w:szCs w:val="24"/>
                      <w:lang w:eastAsia="en-IN"/>
                    </w:rPr>
                    <w:t>Latency</w:t>
                  </w:r>
                </w:p>
              </w:tc>
              <w:tc>
                <w:tcPr>
                  <w:tcW w:w="1080" w:type="dxa"/>
                  <w:vMerge w:val="restart"/>
                </w:tcPr>
                <w:p w:rsidR="00DC1438" w:rsidRPr="00DC1438" w:rsidRDefault="00DC1438" w:rsidP="00C67725">
                  <w:pPr>
                    <w:jc w:val="both"/>
                    <w:rPr>
                      <w:sz w:val="24"/>
                      <w:szCs w:val="24"/>
                      <w:lang w:eastAsia="en-IN"/>
                    </w:rPr>
                  </w:pPr>
                  <w:r w:rsidRPr="00DC1438">
                    <w:rPr>
                      <w:sz w:val="24"/>
                      <w:szCs w:val="24"/>
                      <w:lang w:eastAsia="en-IN"/>
                    </w:rPr>
                    <w:t>Latency shall be measured monthly</w:t>
                  </w:r>
                  <w:r w:rsidR="00160E91">
                    <w:rPr>
                      <w:sz w:val="24"/>
                      <w:szCs w:val="24"/>
                      <w:lang w:eastAsia="en-IN"/>
                    </w:rPr>
                    <w:t xml:space="preserve"> by UIDAI</w:t>
                  </w:r>
                  <w:r w:rsidRPr="00DC1438">
                    <w:rPr>
                      <w:sz w:val="24"/>
                      <w:szCs w:val="24"/>
                      <w:lang w:eastAsia="en-IN"/>
                    </w:rPr>
                    <w:t>, based on Contract Start date after acceptanc</w:t>
                  </w:r>
                  <w:r w:rsidRPr="00DC1438">
                    <w:rPr>
                      <w:sz w:val="24"/>
                      <w:szCs w:val="24"/>
                      <w:lang w:eastAsia="en-IN"/>
                    </w:rPr>
                    <w:lastRenderedPageBreak/>
                    <w:t>e</w:t>
                  </w:r>
                </w:p>
              </w:tc>
              <w:tc>
                <w:tcPr>
                  <w:tcW w:w="810" w:type="dxa"/>
                </w:tcPr>
                <w:p w:rsidR="00DC1438" w:rsidRPr="00505CB5" w:rsidRDefault="00DC1438" w:rsidP="00C67725">
                  <w:pPr>
                    <w:jc w:val="both"/>
                    <w:rPr>
                      <w:b/>
                      <w:bCs/>
                      <w:sz w:val="24"/>
                      <w:szCs w:val="24"/>
                      <w:lang w:eastAsia="en-IN"/>
                    </w:rPr>
                  </w:pPr>
                  <w:r w:rsidRPr="00505CB5">
                    <w:rPr>
                      <w:b/>
                      <w:bCs/>
                      <w:sz w:val="24"/>
                      <w:szCs w:val="24"/>
                      <w:lang w:eastAsia="en-IN"/>
                    </w:rPr>
                    <w:lastRenderedPageBreak/>
                    <w:t>&lt;</w:t>
                  </w:r>
                  <w:r w:rsidR="00DC662D">
                    <w:rPr>
                      <w:b/>
                      <w:bCs/>
                      <w:sz w:val="24"/>
                      <w:szCs w:val="24"/>
                      <w:lang w:eastAsia="en-IN"/>
                    </w:rPr>
                    <w:t>=</w:t>
                  </w:r>
                  <w:r w:rsidRPr="00505CB5">
                    <w:rPr>
                      <w:b/>
                      <w:bCs/>
                      <w:sz w:val="24"/>
                      <w:szCs w:val="24"/>
                      <w:lang w:eastAsia="en-IN"/>
                    </w:rPr>
                    <w:t>85 ms</w:t>
                  </w:r>
                </w:p>
              </w:tc>
              <w:tc>
                <w:tcPr>
                  <w:tcW w:w="1842" w:type="dxa"/>
                </w:tcPr>
                <w:p w:rsidR="00DC1438" w:rsidRPr="00505CB5" w:rsidRDefault="00DC1438" w:rsidP="00C67725">
                  <w:pPr>
                    <w:jc w:val="both"/>
                    <w:rPr>
                      <w:sz w:val="24"/>
                      <w:szCs w:val="24"/>
                    </w:rPr>
                  </w:pPr>
                  <w:r w:rsidRPr="00505CB5">
                    <w:rPr>
                      <w:sz w:val="24"/>
                      <w:szCs w:val="24"/>
                      <w:lang w:eastAsia="en-IN"/>
                    </w:rPr>
                    <w:t>NIL</w:t>
                  </w:r>
                </w:p>
              </w:tc>
            </w:tr>
            <w:tr w:rsidR="00DC1438" w:rsidRPr="00505CB5" w:rsidTr="00160E91">
              <w:tc>
                <w:tcPr>
                  <w:tcW w:w="870"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810" w:type="dxa"/>
                </w:tcPr>
                <w:p w:rsidR="00DC1438" w:rsidRPr="00505CB5" w:rsidRDefault="00DC1438" w:rsidP="00DC662D">
                  <w:pPr>
                    <w:jc w:val="both"/>
                    <w:rPr>
                      <w:b/>
                      <w:bCs/>
                      <w:sz w:val="24"/>
                      <w:szCs w:val="24"/>
                      <w:lang w:eastAsia="en-IN"/>
                    </w:rPr>
                  </w:pPr>
                  <w:r w:rsidRPr="00505CB5">
                    <w:rPr>
                      <w:b/>
                      <w:bCs/>
                      <w:sz w:val="24"/>
                      <w:szCs w:val="24"/>
                      <w:lang w:eastAsia="en-IN"/>
                    </w:rPr>
                    <w:t>&gt;85 ms and &lt;</w:t>
                  </w:r>
                  <w:r w:rsidR="00DC662D">
                    <w:rPr>
                      <w:b/>
                      <w:bCs/>
                      <w:sz w:val="24"/>
                      <w:szCs w:val="24"/>
                      <w:lang w:eastAsia="en-IN"/>
                    </w:rPr>
                    <w:t>=</w:t>
                  </w:r>
                  <w:r w:rsidRPr="00505CB5">
                    <w:rPr>
                      <w:b/>
                      <w:bCs/>
                      <w:sz w:val="24"/>
                      <w:szCs w:val="24"/>
                      <w:lang w:eastAsia="en-IN"/>
                    </w:rPr>
                    <w:t>95 ms</w:t>
                  </w:r>
                </w:p>
              </w:tc>
              <w:tc>
                <w:tcPr>
                  <w:tcW w:w="1842" w:type="dxa"/>
                </w:tcPr>
                <w:p w:rsidR="00DC1438" w:rsidRPr="00505CB5" w:rsidRDefault="00DC1438" w:rsidP="00C67725">
                  <w:pPr>
                    <w:jc w:val="both"/>
                    <w:rPr>
                      <w:sz w:val="24"/>
                      <w:szCs w:val="24"/>
                      <w:lang w:eastAsia="en-IN"/>
                    </w:rPr>
                  </w:pPr>
                  <w:r w:rsidRPr="00505CB5">
                    <w:rPr>
                      <w:sz w:val="24"/>
                      <w:szCs w:val="24"/>
                      <w:lang w:eastAsia="en-IN"/>
                    </w:rPr>
                    <w:t>0.1% of quarterly payment of telecom service (P2P link) charges of that particular lin</w:t>
                  </w:r>
                  <w:r w:rsidRPr="00505CB5">
                    <w:rPr>
                      <w:sz w:val="24"/>
                      <w:szCs w:val="24"/>
                    </w:rPr>
                    <w:t>k</w:t>
                  </w:r>
                </w:p>
              </w:tc>
            </w:tr>
            <w:tr w:rsidR="00DC1438" w:rsidRPr="00505CB5" w:rsidTr="00160E91">
              <w:tc>
                <w:tcPr>
                  <w:tcW w:w="870"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810" w:type="dxa"/>
                </w:tcPr>
                <w:p w:rsidR="00DC1438" w:rsidRPr="00505CB5" w:rsidRDefault="00DC1438" w:rsidP="00DC662D">
                  <w:pPr>
                    <w:jc w:val="both"/>
                    <w:rPr>
                      <w:b/>
                      <w:bCs/>
                      <w:sz w:val="24"/>
                      <w:szCs w:val="24"/>
                      <w:lang w:eastAsia="en-IN"/>
                    </w:rPr>
                  </w:pPr>
                  <w:r w:rsidRPr="00505CB5">
                    <w:rPr>
                      <w:b/>
                      <w:bCs/>
                      <w:sz w:val="24"/>
                      <w:szCs w:val="24"/>
                      <w:lang w:eastAsia="en-IN"/>
                    </w:rPr>
                    <w:t xml:space="preserve">&gt;95 ms and </w:t>
                  </w:r>
                  <w:r w:rsidRPr="00505CB5">
                    <w:rPr>
                      <w:b/>
                      <w:bCs/>
                      <w:sz w:val="24"/>
                      <w:szCs w:val="24"/>
                      <w:lang w:eastAsia="en-IN"/>
                    </w:rPr>
                    <w:lastRenderedPageBreak/>
                    <w:t>&lt;</w:t>
                  </w:r>
                  <w:r w:rsidR="00DC662D">
                    <w:rPr>
                      <w:b/>
                      <w:bCs/>
                      <w:sz w:val="24"/>
                      <w:szCs w:val="24"/>
                      <w:lang w:eastAsia="en-IN"/>
                    </w:rPr>
                    <w:t>=</w:t>
                  </w:r>
                  <w:r w:rsidRPr="00505CB5">
                    <w:rPr>
                      <w:b/>
                      <w:bCs/>
                      <w:sz w:val="24"/>
                      <w:szCs w:val="24"/>
                      <w:lang w:eastAsia="en-IN"/>
                    </w:rPr>
                    <w:t>105 ms</w:t>
                  </w:r>
                </w:p>
              </w:tc>
              <w:tc>
                <w:tcPr>
                  <w:tcW w:w="1842" w:type="dxa"/>
                </w:tcPr>
                <w:p w:rsidR="00DC1438" w:rsidRPr="00505CB5" w:rsidRDefault="00DC1438" w:rsidP="00C67725">
                  <w:pPr>
                    <w:jc w:val="both"/>
                    <w:rPr>
                      <w:sz w:val="24"/>
                      <w:szCs w:val="24"/>
                    </w:rPr>
                  </w:pPr>
                  <w:r w:rsidRPr="00505CB5">
                    <w:rPr>
                      <w:sz w:val="24"/>
                      <w:szCs w:val="24"/>
                      <w:lang w:eastAsia="en-IN"/>
                    </w:rPr>
                    <w:lastRenderedPageBreak/>
                    <w:t xml:space="preserve">0.2% of quarterly payment of </w:t>
                  </w:r>
                  <w:r w:rsidRPr="00505CB5">
                    <w:rPr>
                      <w:sz w:val="24"/>
                      <w:szCs w:val="24"/>
                      <w:lang w:eastAsia="en-IN"/>
                    </w:rPr>
                    <w:lastRenderedPageBreak/>
                    <w:t>telecom service (P2P link) charges of that particular lin</w:t>
                  </w:r>
                  <w:r w:rsidRPr="00505CB5">
                    <w:rPr>
                      <w:sz w:val="24"/>
                      <w:szCs w:val="24"/>
                    </w:rPr>
                    <w:t>k</w:t>
                  </w:r>
                </w:p>
              </w:tc>
            </w:tr>
            <w:tr w:rsidR="00DC1438" w:rsidRPr="00505CB5" w:rsidTr="00160E91">
              <w:tc>
                <w:tcPr>
                  <w:tcW w:w="870"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810" w:type="dxa"/>
                </w:tcPr>
                <w:p w:rsidR="00DC1438" w:rsidRPr="00505CB5" w:rsidRDefault="00DC1438" w:rsidP="00DC662D">
                  <w:pPr>
                    <w:jc w:val="both"/>
                    <w:rPr>
                      <w:b/>
                      <w:bCs/>
                      <w:sz w:val="24"/>
                      <w:szCs w:val="24"/>
                      <w:lang w:eastAsia="en-IN"/>
                    </w:rPr>
                  </w:pPr>
                  <w:r w:rsidRPr="00505CB5">
                    <w:rPr>
                      <w:b/>
                      <w:bCs/>
                      <w:sz w:val="24"/>
                      <w:szCs w:val="24"/>
                      <w:lang w:eastAsia="en-IN"/>
                    </w:rPr>
                    <w:t>&gt;105 ms and &lt;</w:t>
                  </w:r>
                  <w:r w:rsidR="00DC662D">
                    <w:rPr>
                      <w:b/>
                      <w:bCs/>
                      <w:sz w:val="24"/>
                      <w:szCs w:val="24"/>
                      <w:lang w:eastAsia="en-IN"/>
                    </w:rPr>
                    <w:t>=</w:t>
                  </w:r>
                  <w:r w:rsidRPr="00505CB5">
                    <w:rPr>
                      <w:b/>
                      <w:bCs/>
                      <w:sz w:val="24"/>
                      <w:szCs w:val="24"/>
                      <w:lang w:eastAsia="en-IN"/>
                    </w:rPr>
                    <w:t>115 ms</w:t>
                  </w:r>
                </w:p>
              </w:tc>
              <w:tc>
                <w:tcPr>
                  <w:tcW w:w="1842" w:type="dxa"/>
                </w:tcPr>
                <w:p w:rsidR="00DC1438" w:rsidRPr="00505CB5" w:rsidRDefault="00DC1438" w:rsidP="00C67725">
                  <w:pPr>
                    <w:jc w:val="both"/>
                    <w:rPr>
                      <w:sz w:val="24"/>
                      <w:szCs w:val="24"/>
                    </w:rPr>
                  </w:pPr>
                  <w:r w:rsidRPr="00505CB5">
                    <w:rPr>
                      <w:sz w:val="24"/>
                      <w:szCs w:val="24"/>
                      <w:lang w:eastAsia="en-IN"/>
                    </w:rPr>
                    <w:t>0.4% of quarterly payment of telecom service (P2P link) charges of that particular lin</w:t>
                  </w:r>
                  <w:r w:rsidRPr="00505CB5">
                    <w:rPr>
                      <w:sz w:val="24"/>
                      <w:szCs w:val="24"/>
                    </w:rPr>
                    <w:t>k</w:t>
                  </w:r>
                </w:p>
              </w:tc>
            </w:tr>
            <w:tr w:rsidR="00DC1438" w:rsidRPr="00505CB5" w:rsidTr="00160E91">
              <w:tc>
                <w:tcPr>
                  <w:tcW w:w="870"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810" w:type="dxa"/>
                </w:tcPr>
                <w:p w:rsidR="00DC1438" w:rsidRPr="00505CB5" w:rsidRDefault="00DC1438" w:rsidP="00DC662D">
                  <w:pPr>
                    <w:jc w:val="both"/>
                    <w:rPr>
                      <w:b/>
                      <w:bCs/>
                      <w:sz w:val="24"/>
                      <w:szCs w:val="24"/>
                      <w:lang w:eastAsia="en-IN"/>
                    </w:rPr>
                  </w:pPr>
                  <w:r w:rsidRPr="00505CB5">
                    <w:rPr>
                      <w:b/>
                      <w:bCs/>
                      <w:sz w:val="24"/>
                      <w:szCs w:val="24"/>
                      <w:lang w:eastAsia="en-IN"/>
                    </w:rPr>
                    <w:t>&gt;115 ms and &lt;</w:t>
                  </w:r>
                  <w:r w:rsidR="00DC662D">
                    <w:rPr>
                      <w:b/>
                      <w:bCs/>
                      <w:sz w:val="24"/>
                      <w:szCs w:val="24"/>
                      <w:lang w:eastAsia="en-IN"/>
                    </w:rPr>
                    <w:t>=</w:t>
                  </w:r>
                  <w:r w:rsidRPr="00505CB5">
                    <w:rPr>
                      <w:b/>
                      <w:bCs/>
                      <w:sz w:val="24"/>
                      <w:szCs w:val="24"/>
                      <w:lang w:eastAsia="en-IN"/>
                    </w:rPr>
                    <w:t>125 ms</w:t>
                  </w:r>
                </w:p>
              </w:tc>
              <w:tc>
                <w:tcPr>
                  <w:tcW w:w="1842" w:type="dxa"/>
                </w:tcPr>
                <w:p w:rsidR="00DC1438" w:rsidRPr="00505CB5" w:rsidRDefault="00DC1438" w:rsidP="00C67725">
                  <w:pPr>
                    <w:jc w:val="both"/>
                    <w:rPr>
                      <w:sz w:val="24"/>
                      <w:szCs w:val="24"/>
                    </w:rPr>
                  </w:pPr>
                  <w:r w:rsidRPr="00505CB5">
                    <w:rPr>
                      <w:sz w:val="24"/>
                      <w:szCs w:val="24"/>
                      <w:lang w:eastAsia="en-IN"/>
                    </w:rPr>
                    <w:t>0.5% of quarterly payment  of telecom service (P2P link) charges of that particular lin</w:t>
                  </w:r>
                  <w:r w:rsidRPr="00505CB5">
                    <w:rPr>
                      <w:sz w:val="24"/>
                      <w:szCs w:val="24"/>
                    </w:rPr>
                    <w:t>k</w:t>
                  </w:r>
                </w:p>
              </w:tc>
            </w:tr>
            <w:tr w:rsidR="00DC1438" w:rsidRPr="00505CB5" w:rsidTr="00160E91">
              <w:tc>
                <w:tcPr>
                  <w:tcW w:w="870" w:type="dxa"/>
                  <w:vMerge/>
                </w:tcPr>
                <w:p w:rsidR="00DC1438" w:rsidRPr="00505CB5" w:rsidRDefault="00DC1438" w:rsidP="00C67725">
                  <w:pPr>
                    <w:jc w:val="both"/>
                    <w:rPr>
                      <w:b/>
                      <w:bCs/>
                      <w:sz w:val="24"/>
                      <w:szCs w:val="24"/>
                      <w:lang w:eastAsia="en-IN"/>
                    </w:rPr>
                  </w:pPr>
                </w:p>
              </w:tc>
              <w:tc>
                <w:tcPr>
                  <w:tcW w:w="1080" w:type="dxa"/>
                  <w:vMerge/>
                </w:tcPr>
                <w:p w:rsidR="00DC1438" w:rsidRPr="00505CB5" w:rsidRDefault="00DC1438" w:rsidP="00C67725">
                  <w:pPr>
                    <w:jc w:val="both"/>
                    <w:rPr>
                      <w:b/>
                      <w:bCs/>
                      <w:sz w:val="24"/>
                      <w:szCs w:val="24"/>
                      <w:lang w:eastAsia="en-IN"/>
                    </w:rPr>
                  </w:pPr>
                </w:p>
              </w:tc>
              <w:tc>
                <w:tcPr>
                  <w:tcW w:w="810" w:type="dxa"/>
                </w:tcPr>
                <w:p w:rsidR="00DC1438" w:rsidRPr="00505CB5" w:rsidRDefault="00DC662D" w:rsidP="00C67725">
                  <w:pPr>
                    <w:jc w:val="both"/>
                    <w:rPr>
                      <w:b/>
                      <w:bCs/>
                      <w:sz w:val="24"/>
                      <w:szCs w:val="24"/>
                      <w:lang w:eastAsia="en-IN"/>
                    </w:rPr>
                  </w:pPr>
                  <w:r>
                    <w:rPr>
                      <w:b/>
                      <w:bCs/>
                      <w:sz w:val="24"/>
                      <w:szCs w:val="24"/>
                      <w:lang w:eastAsia="en-IN"/>
                    </w:rPr>
                    <w:t>&gt;</w:t>
                  </w:r>
                  <w:r w:rsidR="00DC1438" w:rsidRPr="00505CB5">
                    <w:rPr>
                      <w:b/>
                      <w:bCs/>
                      <w:sz w:val="24"/>
                      <w:szCs w:val="24"/>
                      <w:lang w:eastAsia="en-IN"/>
                    </w:rPr>
                    <w:t>125 ms</w:t>
                  </w:r>
                </w:p>
              </w:tc>
              <w:tc>
                <w:tcPr>
                  <w:tcW w:w="1842" w:type="dxa"/>
                </w:tcPr>
                <w:p w:rsidR="00DC1438" w:rsidRPr="00505CB5" w:rsidRDefault="00DC1438" w:rsidP="00C67725">
                  <w:pPr>
                    <w:jc w:val="both"/>
                    <w:rPr>
                      <w:sz w:val="24"/>
                      <w:szCs w:val="24"/>
                    </w:rPr>
                  </w:pPr>
                  <w:r w:rsidRPr="00505CB5">
                    <w:rPr>
                      <w:sz w:val="24"/>
                      <w:szCs w:val="24"/>
                      <w:lang w:eastAsia="en-IN"/>
                    </w:rPr>
                    <w:t>1% of quarterly payment of telecom service (P2P link) charges of that particular lin</w:t>
                  </w:r>
                  <w:r w:rsidRPr="00505CB5">
                    <w:rPr>
                      <w:sz w:val="24"/>
                      <w:szCs w:val="24"/>
                    </w:rPr>
                    <w:t>k</w:t>
                  </w:r>
                </w:p>
              </w:tc>
            </w:tr>
          </w:tbl>
          <w:p w:rsidR="00DA01E2" w:rsidRPr="00505CB5" w:rsidRDefault="00DA01E2" w:rsidP="00C67725">
            <w:pPr>
              <w:spacing w:line="240" w:lineRule="auto"/>
              <w:jc w:val="both"/>
              <w:rPr>
                <w:rFonts w:eastAsia="Times New Roman" w:cs="Times New Roman"/>
                <w:bCs/>
                <w:color w:val="000000"/>
                <w:sz w:val="24"/>
                <w:szCs w:val="24"/>
                <w:lang w:bidi="hi-IN"/>
              </w:rPr>
            </w:pP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lastRenderedPageBreak/>
              <w:t>5</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Pr>
                <w:rFonts w:eastAsia="Times New Roman" w:cs="Times New Roman"/>
                <w:bCs/>
                <w:color w:val="000000"/>
                <w:sz w:val="24"/>
                <w:szCs w:val="24"/>
                <w:lang w:bidi="hi-IN"/>
              </w:rPr>
              <w:t>3.16(3c)</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Pr>
                <w:rFonts w:eastAsia="Times New Roman" w:cs="Times New Roman"/>
                <w:bCs/>
                <w:color w:val="000000"/>
                <w:sz w:val="24"/>
                <w:szCs w:val="24"/>
                <w:lang w:bidi="hi-IN"/>
              </w:rPr>
              <w:t>39</w:t>
            </w:r>
          </w:p>
        </w:tc>
        <w:tc>
          <w:tcPr>
            <w:tcW w:w="4902" w:type="dxa"/>
            <w:tcBorders>
              <w:top w:val="single" w:sz="4" w:space="0" w:color="auto"/>
              <w:left w:val="nil"/>
              <w:bottom w:val="single" w:sz="4" w:space="0" w:color="auto"/>
              <w:right w:val="single" w:sz="4" w:space="0" w:color="auto"/>
            </w:tcBorders>
            <w:shd w:val="clear" w:color="auto" w:fill="auto"/>
            <w:hideMark/>
          </w:tcPr>
          <w:tbl>
            <w:tblPr>
              <w:tblW w:w="4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822"/>
              <w:gridCol w:w="1260"/>
              <w:gridCol w:w="1170"/>
              <w:gridCol w:w="1350"/>
            </w:tblGrid>
            <w:tr w:rsidR="0025612F" w:rsidRPr="00505CB5" w:rsidTr="001E2790">
              <w:trPr>
                <w:trHeight w:val="229"/>
              </w:trPr>
              <w:tc>
                <w:tcPr>
                  <w:tcW w:w="822" w:type="dxa"/>
                  <w:vAlign w:val="center"/>
                </w:tcPr>
                <w:p w:rsidR="0025612F" w:rsidRPr="00DC1438" w:rsidRDefault="0025612F" w:rsidP="00C67725">
                  <w:pPr>
                    <w:jc w:val="center"/>
                    <w:rPr>
                      <w:b/>
                      <w:bCs/>
                      <w:sz w:val="24"/>
                      <w:szCs w:val="24"/>
                      <w:lang w:eastAsia="en-IN"/>
                    </w:rPr>
                  </w:pPr>
                  <w:r w:rsidRPr="00DC1438">
                    <w:rPr>
                      <w:b/>
                      <w:bCs/>
                      <w:sz w:val="24"/>
                      <w:szCs w:val="24"/>
                      <w:lang w:eastAsia="en-IN"/>
                    </w:rPr>
                    <w:t>Service Para-meter</w:t>
                  </w:r>
                </w:p>
              </w:tc>
              <w:tc>
                <w:tcPr>
                  <w:tcW w:w="1260" w:type="dxa"/>
                  <w:vAlign w:val="center"/>
                </w:tcPr>
                <w:p w:rsidR="0025612F" w:rsidRPr="00DC1438" w:rsidRDefault="0025612F" w:rsidP="00C67725">
                  <w:pPr>
                    <w:jc w:val="center"/>
                    <w:rPr>
                      <w:b/>
                      <w:bCs/>
                      <w:sz w:val="24"/>
                      <w:szCs w:val="24"/>
                      <w:lang w:eastAsia="en-IN"/>
                    </w:rPr>
                  </w:pPr>
                  <w:proofErr w:type="spellStart"/>
                  <w:r w:rsidRPr="00DC1438">
                    <w:rPr>
                      <w:b/>
                      <w:bCs/>
                      <w:sz w:val="24"/>
                      <w:szCs w:val="24"/>
                      <w:lang w:eastAsia="en-IN"/>
                    </w:rPr>
                    <w:t>Mea</w:t>
                  </w:r>
                  <w:proofErr w:type="spellEnd"/>
                  <w:r w:rsidRPr="00DC1438">
                    <w:rPr>
                      <w:b/>
                      <w:bCs/>
                      <w:sz w:val="24"/>
                      <w:szCs w:val="24"/>
                      <w:lang w:eastAsia="en-IN"/>
                    </w:rPr>
                    <w:t>-sure-</w:t>
                  </w:r>
                  <w:proofErr w:type="spellStart"/>
                  <w:r w:rsidRPr="00DC1438">
                    <w:rPr>
                      <w:b/>
                      <w:bCs/>
                      <w:sz w:val="24"/>
                      <w:szCs w:val="24"/>
                      <w:lang w:eastAsia="en-IN"/>
                    </w:rPr>
                    <w:t>ment</w:t>
                  </w:r>
                  <w:proofErr w:type="spellEnd"/>
                </w:p>
              </w:tc>
              <w:tc>
                <w:tcPr>
                  <w:tcW w:w="1170" w:type="dxa"/>
                  <w:vAlign w:val="center"/>
                </w:tcPr>
                <w:p w:rsidR="0025612F" w:rsidRPr="00DC1438" w:rsidRDefault="0025612F" w:rsidP="00C67725">
                  <w:pPr>
                    <w:jc w:val="center"/>
                    <w:rPr>
                      <w:b/>
                      <w:bCs/>
                      <w:sz w:val="24"/>
                      <w:szCs w:val="24"/>
                      <w:lang w:eastAsia="en-IN"/>
                    </w:rPr>
                  </w:pPr>
                  <w:r w:rsidRPr="00DC1438">
                    <w:rPr>
                      <w:b/>
                      <w:bCs/>
                      <w:sz w:val="24"/>
                      <w:szCs w:val="24"/>
                      <w:lang w:eastAsia="en-IN"/>
                    </w:rPr>
                    <w:t>Service Level</w:t>
                  </w:r>
                </w:p>
              </w:tc>
              <w:tc>
                <w:tcPr>
                  <w:tcW w:w="1350" w:type="dxa"/>
                  <w:vAlign w:val="center"/>
                </w:tcPr>
                <w:p w:rsidR="0025612F" w:rsidRPr="00DC1438" w:rsidRDefault="0025612F" w:rsidP="00C67725">
                  <w:pPr>
                    <w:jc w:val="center"/>
                    <w:rPr>
                      <w:b/>
                      <w:bCs/>
                      <w:sz w:val="24"/>
                      <w:szCs w:val="24"/>
                      <w:lang w:eastAsia="en-IN"/>
                    </w:rPr>
                  </w:pPr>
                  <w:r w:rsidRPr="00DC1438">
                    <w:rPr>
                      <w:b/>
                      <w:bCs/>
                      <w:sz w:val="24"/>
                      <w:szCs w:val="24"/>
                    </w:rPr>
                    <w:t>Liquidated Damages</w:t>
                  </w:r>
                </w:p>
              </w:tc>
            </w:tr>
            <w:tr w:rsidR="0025612F" w:rsidRPr="00505CB5" w:rsidTr="001E2790">
              <w:trPr>
                <w:trHeight w:val="229"/>
              </w:trPr>
              <w:tc>
                <w:tcPr>
                  <w:tcW w:w="822" w:type="dxa"/>
                  <w:vMerge w:val="restart"/>
                </w:tcPr>
                <w:p w:rsidR="0025612F" w:rsidRPr="00DC1438" w:rsidRDefault="0025612F" w:rsidP="00C67725">
                  <w:pPr>
                    <w:jc w:val="both"/>
                    <w:rPr>
                      <w:sz w:val="24"/>
                      <w:szCs w:val="24"/>
                      <w:lang w:eastAsia="en-IN"/>
                    </w:rPr>
                  </w:pPr>
                  <w:r>
                    <w:rPr>
                      <w:sz w:val="24"/>
                      <w:szCs w:val="24"/>
                      <w:lang w:eastAsia="en-IN"/>
                    </w:rPr>
                    <w:t>Response Time</w:t>
                  </w:r>
                </w:p>
              </w:tc>
              <w:tc>
                <w:tcPr>
                  <w:tcW w:w="1260" w:type="dxa"/>
                  <w:vMerge w:val="restart"/>
                </w:tcPr>
                <w:p w:rsidR="0025612F" w:rsidRPr="0025612F" w:rsidRDefault="0025612F" w:rsidP="00C67725">
                  <w:pPr>
                    <w:rPr>
                      <w:sz w:val="24"/>
                      <w:szCs w:val="24"/>
                      <w:lang w:eastAsia="en-IN"/>
                    </w:rPr>
                  </w:pPr>
                  <w:r w:rsidRPr="0025612F">
                    <w:rPr>
                      <w:sz w:val="24"/>
                      <w:szCs w:val="24"/>
                      <w:lang w:eastAsia="en-IN"/>
                    </w:rPr>
                    <w:t>Response Time is the time taken by the NOC official/ Technical Manager to respond and acknowledge the reported problem during the respective quarter</w:t>
                  </w:r>
                </w:p>
              </w:tc>
              <w:tc>
                <w:tcPr>
                  <w:tcW w:w="1170" w:type="dxa"/>
                </w:tcPr>
                <w:p w:rsidR="0025612F" w:rsidRPr="0025612F" w:rsidRDefault="0025612F" w:rsidP="00C67725">
                  <w:pPr>
                    <w:rPr>
                      <w:sz w:val="24"/>
                      <w:szCs w:val="24"/>
                      <w:lang w:eastAsia="en-IN"/>
                    </w:rPr>
                  </w:pPr>
                  <w:r w:rsidRPr="0025612F">
                    <w:rPr>
                      <w:sz w:val="24"/>
                      <w:szCs w:val="24"/>
                      <w:lang w:eastAsia="en-IN"/>
                    </w:rPr>
                    <w:t>100% calls to be responded within 30 minutes</w:t>
                  </w:r>
                </w:p>
              </w:tc>
              <w:tc>
                <w:tcPr>
                  <w:tcW w:w="1350" w:type="dxa"/>
                </w:tcPr>
                <w:p w:rsidR="0025612F" w:rsidRPr="0025612F" w:rsidRDefault="0025612F" w:rsidP="00C67725">
                  <w:pPr>
                    <w:rPr>
                      <w:sz w:val="24"/>
                      <w:szCs w:val="24"/>
                      <w:lang w:eastAsia="en-IN"/>
                    </w:rPr>
                  </w:pPr>
                  <w:r w:rsidRPr="0025612F">
                    <w:rPr>
                      <w:sz w:val="24"/>
                      <w:szCs w:val="24"/>
                      <w:lang w:eastAsia="en-IN"/>
                    </w:rPr>
                    <w:t>NIL</w:t>
                  </w:r>
                </w:p>
              </w:tc>
            </w:tr>
            <w:tr w:rsidR="0025612F" w:rsidRPr="00505CB5" w:rsidTr="001E2790">
              <w:tc>
                <w:tcPr>
                  <w:tcW w:w="822" w:type="dxa"/>
                  <w:vMerge/>
                </w:tcPr>
                <w:p w:rsidR="0025612F" w:rsidRPr="00505CB5" w:rsidRDefault="0025612F" w:rsidP="00C67725">
                  <w:pPr>
                    <w:jc w:val="both"/>
                    <w:rPr>
                      <w:b/>
                      <w:bCs/>
                      <w:sz w:val="24"/>
                      <w:szCs w:val="24"/>
                      <w:lang w:eastAsia="en-IN"/>
                    </w:rPr>
                  </w:pPr>
                </w:p>
              </w:tc>
              <w:tc>
                <w:tcPr>
                  <w:tcW w:w="1260" w:type="dxa"/>
                  <w:vMerge/>
                </w:tcPr>
                <w:p w:rsidR="0025612F" w:rsidRPr="0025612F" w:rsidRDefault="0025612F" w:rsidP="00C67725">
                  <w:pPr>
                    <w:jc w:val="both"/>
                    <w:rPr>
                      <w:b/>
                      <w:bCs/>
                      <w:sz w:val="24"/>
                      <w:szCs w:val="24"/>
                      <w:lang w:eastAsia="en-IN"/>
                    </w:rPr>
                  </w:pPr>
                </w:p>
              </w:tc>
              <w:tc>
                <w:tcPr>
                  <w:tcW w:w="1170" w:type="dxa"/>
                </w:tcPr>
                <w:p w:rsidR="0025612F" w:rsidRPr="0025612F" w:rsidRDefault="0025612F" w:rsidP="00C67725">
                  <w:pPr>
                    <w:jc w:val="both"/>
                    <w:rPr>
                      <w:b/>
                      <w:bCs/>
                      <w:sz w:val="24"/>
                      <w:szCs w:val="24"/>
                      <w:lang w:eastAsia="en-IN"/>
                    </w:rPr>
                  </w:pPr>
                  <w:r w:rsidRPr="0025612F">
                    <w:rPr>
                      <w:sz w:val="24"/>
                      <w:szCs w:val="24"/>
                      <w:lang w:eastAsia="en-IN"/>
                    </w:rPr>
                    <w:t>Calls responded after 30 min or not responded</w:t>
                  </w:r>
                </w:p>
              </w:tc>
              <w:tc>
                <w:tcPr>
                  <w:tcW w:w="1350" w:type="dxa"/>
                </w:tcPr>
                <w:p w:rsidR="0025612F" w:rsidRPr="0025612F" w:rsidRDefault="0025612F" w:rsidP="00C67725">
                  <w:pPr>
                    <w:jc w:val="both"/>
                    <w:rPr>
                      <w:sz w:val="24"/>
                      <w:szCs w:val="24"/>
                      <w:lang w:eastAsia="en-IN"/>
                    </w:rPr>
                  </w:pPr>
                  <w:r w:rsidRPr="0025612F">
                    <w:rPr>
                      <w:sz w:val="24"/>
                      <w:szCs w:val="24"/>
                      <w:lang w:eastAsia="en-IN"/>
                    </w:rPr>
                    <w:t>0.1% of quarterly payment of telecom service (P2P link) charges of that particular lin</w:t>
                  </w:r>
                  <w:r w:rsidRPr="0025612F">
                    <w:rPr>
                      <w:sz w:val="24"/>
                      <w:szCs w:val="24"/>
                    </w:rPr>
                    <w:t>k</w:t>
                  </w:r>
                </w:p>
              </w:tc>
            </w:tr>
          </w:tbl>
          <w:p w:rsidR="00DA01E2" w:rsidRPr="00505CB5" w:rsidRDefault="00DA01E2" w:rsidP="00C67725">
            <w:pPr>
              <w:spacing w:line="240" w:lineRule="auto"/>
              <w:jc w:val="both"/>
              <w:rPr>
                <w:rFonts w:eastAsia="Times New Roman" w:cs="Times New Roman"/>
                <w:bCs/>
                <w:color w:val="000000"/>
                <w:sz w:val="24"/>
                <w:szCs w:val="24"/>
                <w:lang w:bidi="hi-IN"/>
              </w:rPr>
            </w:pPr>
          </w:p>
        </w:tc>
        <w:tc>
          <w:tcPr>
            <w:tcW w:w="4888" w:type="dxa"/>
            <w:tcBorders>
              <w:top w:val="single" w:sz="4" w:space="0" w:color="auto"/>
              <w:left w:val="nil"/>
              <w:bottom w:val="single" w:sz="4" w:space="0" w:color="auto"/>
              <w:right w:val="single" w:sz="4" w:space="0" w:color="auto"/>
            </w:tcBorders>
            <w:shd w:val="clear" w:color="auto" w:fill="auto"/>
            <w:hideMark/>
          </w:tcPr>
          <w:tbl>
            <w:tblPr>
              <w:tblW w:w="4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870"/>
              <w:gridCol w:w="1170"/>
              <w:gridCol w:w="1170"/>
              <w:gridCol w:w="1392"/>
            </w:tblGrid>
            <w:tr w:rsidR="0025612F" w:rsidRPr="00505CB5" w:rsidTr="001E2790">
              <w:trPr>
                <w:trHeight w:val="229"/>
              </w:trPr>
              <w:tc>
                <w:tcPr>
                  <w:tcW w:w="870" w:type="dxa"/>
                  <w:vAlign w:val="center"/>
                </w:tcPr>
                <w:p w:rsidR="0025612F" w:rsidRPr="00DC1438" w:rsidRDefault="0025612F" w:rsidP="00C67725">
                  <w:pPr>
                    <w:jc w:val="center"/>
                    <w:rPr>
                      <w:b/>
                      <w:bCs/>
                      <w:sz w:val="24"/>
                      <w:szCs w:val="24"/>
                      <w:lang w:eastAsia="en-IN"/>
                    </w:rPr>
                  </w:pPr>
                  <w:r w:rsidRPr="00DC1438">
                    <w:rPr>
                      <w:b/>
                      <w:bCs/>
                      <w:sz w:val="24"/>
                      <w:szCs w:val="24"/>
                      <w:lang w:eastAsia="en-IN"/>
                    </w:rPr>
                    <w:t>Service Para-meter</w:t>
                  </w:r>
                </w:p>
              </w:tc>
              <w:tc>
                <w:tcPr>
                  <w:tcW w:w="1170" w:type="dxa"/>
                  <w:vAlign w:val="center"/>
                </w:tcPr>
                <w:p w:rsidR="0025612F" w:rsidRPr="00DC1438" w:rsidRDefault="0025612F" w:rsidP="00C67725">
                  <w:pPr>
                    <w:jc w:val="center"/>
                    <w:rPr>
                      <w:b/>
                      <w:bCs/>
                      <w:sz w:val="24"/>
                      <w:szCs w:val="24"/>
                      <w:lang w:eastAsia="en-IN"/>
                    </w:rPr>
                  </w:pPr>
                  <w:proofErr w:type="spellStart"/>
                  <w:r w:rsidRPr="00DC1438">
                    <w:rPr>
                      <w:b/>
                      <w:bCs/>
                      <w:sz w:val="24"/>
                      <w:szCs w:val="24"/>
                      <w:lang w:eastAsia="en-IN"/>
                    </w:rPr>
                    <w:t>Mea</w:t>
                  </w:r>
                  <w:proofErr w:type="spellEnd"/>
                  <w:r w:rsidRPr="00DC1438">
                    <w:rPr>
                      <w:b/>
                      <w:bCs/>
                      <w:sz w:val="24"/>
                      <w:szCs w:val="24"/>
                      <w:lang w:eastAsia="en-IN"/>
                    </w:rPr>
                    <w:t>-sure-</w:t>
                  </w:r>
                  <w:proofErr w:type="spellStart"/>
                  <w:r w:rsidRPr="00DC1438">
                    <w:rPr>
                      <w:b/>
                      <w:bCs/>
                      <w:sz w:val="24"/>
                      <w:szCs w:val="24"/>
                      <w:lang w:eastAsia="en-IN"/>
                    </w:rPr>
                    <w:t>ment</w:t>
                  </w:r>
                  <w:proofErr w:type="spellEnd"/>
                </w:p>
              </w:tc>
              <w:tc>
                <w:tcPr>
                  <w:tcW w:w="1170" w:type="dxa"/>
                  <w:vAlign w:val="center"/>
                </w:tcPr>
                <w:p w:rsidR="0025612F" w:rsidRPr="00DC1438" w:rsidRDefault="0025612F" w:rsidP="00C67725">
                  <w:pPr>
                    <w:jc w:val="center"/>
                    <w:rPr>
                      <w:b/>
                      <w:bCs/>
                      <w:sz w:val="24"/>
                      <w:szCs w:val="24"/>
                      <w:lang w:eastAsia="en-IN"/>
                    </w:rPr>
                  </w:pPr>
                  <w:r w:rsidRPr="00DC1438">
                    <w:rPr>
                      <w:b/>
                      <w:bCs/>
                      <w:sz w:val="24"/>
                      <w:szCs w:val="24"/>
                      <w:lang w:eastAsia="en-IN"/>
                    </w:rPr>
                    <w:t>Service Level</w:t>
                  </w:r>
                </w:p>
              </w:tc>
              <w:tc>
                <w:tcPr>
                  <w:tcW w:w="1392" w:type="dxa"/>
                  <w:vAlign w:val="center"/>
                </w:tcPr>
                <w:p w:rsidR="0025612F" w:rsidRPr="00DC1438" w:rsidRDefault="0025612F" w:rsidP="00C67725">
                  <w:pPr>
                    <w:jc w:val="center"/>
                    <w:rPr>
                      <w:b/>
                      <w:bCs/>
                      <w:sz w:val="24"/>
                      <w:szCs w:val="24"/>
                      <w:lang w:eastAsia="en-IN"/>
                    </w:rPr>
                  </w:pPr>
                  <w:r w:rsidRPr="00DC1438">
                    <w:rPr>
                      <w:b/>
                      <w:bCs/>
                      <w:sz w:val="24"/>
                      <w:szCs w:val="24"/>
                    </w:rPr>
                    <w:t>Liquidated Damages</w:t>
                  </w:r>
                </w:p>
              </w:tc>
            </w:tr>
            <w:tr w:rsidR="0025612F" w:rsidRPr="00505CB5" w:rsidTr="001E2790">
              <w:trPr>
                <w:trHeight w:val="229"/>
              </w:trPr>
              <w:tc>
                <w:tcPr>
                  <w:tcW w:w="870" w:type="dxa"/>
                  <w:vMerge w:val="restart"/>
                </w:tcPr>
                <w:p w:rsidR="0025612F" w:rsidRPr="00DC1438" w:rsidRDefault="0025612F" w:rsidP="00C67725">
                  <w:pPr>
                    <w:jc w:val="both"/>
                    <w:rPr>
                      <w:sz w:val="24"/>
                      <w:szCs w:val="24"/>
                      <w:lang w:eastAsia="en-IN"/>
                    </w:rPr>
                  </w:pPr>
                  <w:r>
                    <w:rPr>
                      <w:sz w:val="24"/>
                      <w:szCs w:val="24"/>
                      <w:lang w:eastAsia="en-IN"/>
                    </w:rPr>
                    <w:t>Response Time</w:t>
                  </w:r>
                </w:p>
              </w:tc>
              <w:tc>
                <w:tcPr>
                  <w:tcW w:w="1170" w:type="dxa"/>
                  <w:vMerge w:val="restart"/>
                </w:tcPr>
                <w:p w:rsidR="0025612F" w:rsidRPr="0025612F" w:rsidRDefault="0025612F" w:rsidP="0035562E">
                  <w:pPr>
                    <w:rPr>
                      <w:sz w:val="24"/>
                      <w:szCs w:val="24"/>
                      <w:lang w:eastAsia="en-IN"/>
                    </w:rPr>
                  </w:pPr>
                  <w:r w:rsidRPr="0025612F">
                    <w:rPr>
                      <w:sz w:val="24"/>
                      <w:szCs w:val="24"/>
                      <w:lang w:eastAsia="en-IN"/>
                    </w:rPr>
                    <w:t xml:space="preserve">Response Time is the time taken by the </w:t>
                  </w:r>
                  <w:r w:rsidR="0035562E" w:rsidRPr="0035562E">
                    <w:rPr>
                      <w:b/>
                      <w:bCs/>
                      <w:sz w:val="24"/>
                      <w:szCs w:val="24"/>
                      <w:lang w:eastAsia="en-IN"/>
                    </w:rPr>
                    <w:t>Service Desk/Toll Free No.</w:t>
                  </w:r>
                  <w:r w:rsidRPr="0025612F">
                    <w:rPr>
                      <w:sz w:val="24"/>
                      <w:szCs w:val="24"/>
                      <w:lang w:eastAsia="en-IN"/>
                    </w:rPr>
                    <w:t xml:space="preserve"> to respond and acknowledge the reported problem during the respective quarter</w:t>
                  </w:r>
                </w:p>
              </w:tc>
              <w:tc>
                <w:tcPr>
                  <w:tcW w:w="1170" w:type="dxa"/>
                </w:tcPr>
                <w:p w:rsidR="0025612F" w:rsidRPr="0025612F" w:rsidRDefault="0025612F" w:rsidP="00C67725">
                  <w:pPr>
                    <w:rPr>
                      <w:sz w:val="24"/>
                      <w:szCs w:val="24"/>
                      <w:lang w:eastAsia="en-IN"/>
                    </w:rPr>
                  </w:pPr>
                  <w:r w:rsidRPr="0025612F">
                    <w:rPr>
                      <w:sz w:val="24"/>
                      <w:szCs w:val="24"/>
                      <w:lang w:eastAsia="en-IN"/>
                    </w:rPr>
                    <w:t>100% calls to be responded within 30 minutes</w:t>
                  </w:r>
                  <w:r w:rsidR="0035562E">
                    <w:rPr>
                      <w:sz w:val="24"/>
                      <w:szCs w:val="24"/>
                      <w:lang w:eastAsia="en-IN"/>
                    </w:rPr>
                    <w:t xml:space="preserve"> </w:t>
                  </w:r>
                  <w:r w:rsidR="0035562E" w:rsidRPr="0035562E">
                    <w:rPr>
                      <w:b/>
                      <w:bCs/>
                      <w:sz w:val="24"/>
                      <w:szCs w:val="24"/>
                      <w:lang w:eastAsia="en-IN"/>
                    </w:rPr>
                    <w:t>after raising service request</w:t>
                  </w:r>
                </w:p>
              </w:tc>
              <w:tc>
                <w:tcPr>
                  <w:tcW w:w="1392" w:type="dxa"/>
                </w:tcPr>
                <w:p w:rsidR="0025612F" w:rsidRPr="0025612F" w:rsidRDefault="0025612F" w:rsidP="00C67725">
                  <w:pPr>
                    <w:rPr>
                      <w:sz w:val="24"/>
                      <w:szCs w:val="24"/>
                      <w:lang w:eastAsia="en-IN"/>
                    </w:rPr>
                  </w:pPr>
                  <w:r w:rsidRPr="0025612F">
                    <w:rPr>
                      <w:sz w:val="24"/>
                      <w:szCs w:val="24"/>
                      <w:lang w:eastAsia="en-IN"/>
                    </w:rPr>
                    <w:t>NIL</w:t>
                  </w:r>
                </w:p>
              </w:tc>
            </w:tr>
            <w:tr w:rsidR="0025612F" w:rsidRPr="00505CB5" w:rsidTr="001E2790">
              <w:tc>
                <w:tcPr>
                  <w:tcW w:w="870" w:type="dxa"/>
                  <w:vMerge/>
                </w:tcPr>
                <w:p w:rsidR="0025612F" w:rsidRPr="00505CB5" w:rsidRDefault="0025612F" w:rsidP="00C67725">
                  <w:pPr>
                    <w:jc w:val="both"/>
                    <w:rPr>
                      <w:b/>
                      <w:bCs/>
                      <w:sz w:val="24"/>
                      <w:szCs w:val="24"/>
                      <w:lang w:eastAsia="en-IN"/>
                    </w:rPr>
                  </w:pPr>
                </w:p>
              </w:tc>
              <w:tc>
                <w:tcPr>
                  <w:tcW w:w="1170" w:type="dxa"/>
                  <w:vMerge/>
                </w:tcPr>
                <w:p w:rsidR="0025612F" w:rsidRPr="0025612F" w:rsidRDefault="0025612F" w:rsidP="00C67725">
                  <w:pPr>
                    <w:jc w:val="both"/>
                    <w:rPr>
                      <w:b/>
                      <w:bCs/>
                      <w:sz w:val="24"/>
                      <w:szCs w:val="24"/>
                      <w:lang w:eastAsia="en-IN"/>
                    </w:rPr>
                  </w:pPr>
                </w:p>
              </w:tc>
              <w:tc>
                <w:tcPr>
                  <w:tcW w:w="1170" w:type="dxa"/>
                </w:tcPr>
                <w:p w:rsidR="0025612F" w:rsidRPr="0025612F" w:rsidRDefault="0025612F" w:rsidP="0035562E">
                  <w:pPr>
                    <w:jc w:val="both"/>
                    <w:rPr>
                      <w:b/>
                      <w:bCs/>
                      <w:sz w:val="24"/>
                      <w:szCs w:val="24"/>
                      <w:lang w:eastAsia="en-IN"/>
                    </w:rPr>
                  </w:pPr>
                  <w:r w:rsidRPr="0025612F">
                    <w:rPr>
                      <w:sz w:val="24"/>
                      <w:szCs w:val="24"/>
                      <w:lang w:eastAsia="en-IN"/>
                    </w:rPr>
                    <w:t xml:space="preserve">Calls responded </w:t>
                  </w:r>
                  <w:r w:rsidR="0035562E">
                    <w:rPr>
                      <w:sz w:val="24"/>
                      <w:szCs w:val="24"/>
                      <w:lang w:eastAsia="en-IN"/>
                    </w:rPr>
                    <w:t>more than</w:t>
                  </w:r>
                  <w:r w:rsidRPr="0025612F">
                    <w:rPr>
                      <w:sz w:val="24"/>
                      <w:szCs w:val="24"/>
                      <w:lang w:eastAsia="en-IN"/>
                    </w:rPr>
                    <w:t xml:space="preserve"> 30 min </w:t>
                  </w:r>
                  <w:r w:rsidR="0035562E" w:rsidRPr="0035562E">
                    <w:rPr>
                      <w:b/>
                      <w:bCs/>
                      <w:sz w:val="24"/>
                      <w:szCs w:val="24"/>
                      <w:lang w:eastAsia="en-IN"/>
                    </w:rPr>
                    <w:t>after raising service request</w:t>
                  </w:r>
                  <w:r w:rsidR="0035562E" w:rsidRPr="0025612F">
                    <w:rPr>
                      <w:sz w:val="24"/>
                      <w:szCs w:val="24"/>
                      <w:lang w:eastAsia="en-IN"/>
                    </w:rPr>
                    <w:t xml:space="preserve"> </w:t>
                  </w:r>
                  <w:r w:rsidRPr="0025612F">
                    <w:rPr>
                      <w:sz w:val="24"/>
                      <w:szCs w:val="24"/>
                      <w:lang w:eastAsia="en-IN"/>
                    </w:rPr>
                    <w:t xml:space="preserve">or not </w:t>
                  </w:r>
                  <w:r w:rsidRPr="0025612F">
                    <w:rPr>
                      <w:sz w:val="24"/>
                      <w:szCs w:val="24"/>
                      <w:lang w:eastAsia="en-IN"/>
                    </w:rPr>
                    <w:lastRenderedPageBreak/>
                    <w:t>responded</w:t>
                  </w:r>
                </w:p>
              </w:tc>
              <w:tc>
                <w:tcPr>
                  <w:tcW w:w="1392" w:type="dxa"/>
                </w:tcPr>
                <w:p w:rsidR="0025612F" w:rsidRPr="0025612F" w:rsidRDefault="0025612F" w:rsidP="00C67725">
                  <w:pPr>
                    <w:jc w:val="both"/>
                    <w:rPr>
                      <w:sz w:val="24"/>
                      <w:szCs w:val="24"/>
                      <w:lang w:eastAsia="en-IN"/>
                    </w:rPr>
                  </w:pPr>
                  <w:r w:rsidRPr="0025612F">
                    <w:rPr>
                      <w:sz w:val="24"/>
                      <w:szCs w:val="24"/>
                      <w:lang w:eastAsia="en-IN"/>
                    </w:rPr>
                    <w:lastRenderedPageBreak/>
                    <w:t>0.1% of quarterly payment of telecom service (P2P link) charges of that particular lin</w:t>
                  </w:r>
                  <w:r w:rsidRPr="0025612F">
                    <w:rPr>
                      <w:sz w:val="24"/>
                      <w:szCs w:val="24"/>
                    </w:rPr>
                    <w:t>k</w:t>
                  </w:r>
                </w:p>
              </w:tc>
            </w:tr>
          </w:tbl>
          <w:p w:rsidR="00DA01E2" w:rsidRPr="00505CB5" w:rsidRDefault="00DA01E2" w:rsidP="00C67725">
            <w:pPr>
              <w:spacing w:line="240" w:lineRule="auto"/>
              <w:jc w:val="both"/>
              <w:rPr>
                <w:rFonts w:eastAsia="Times New Roman" w:cs="Times New Roman"/>
                <w:bCs/>
                <w:color w:val="000000"/>
                <w:sz w:val="24"/>
                <w:szCs w:val="24"/>
                <w:lang w:bidi="hi-IN"/>
              </w:rPr>
            </w:pP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lastRenderedPageBreak/>
              <w:t>6</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Pr>
                <w:rFonts w:eastAsia="Times New Roman" w:cs="Times New Roman"/>
                <w:bCs/>
                <w:color w:val="000000"/>
                <w:sz w:val="24"/>
                <w:szCs w:val="24"/>
                <w:lang w:bidi="hi-IN"/>
              </w:rPr>
              <w:t>3.24</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Pr>
                <w:rFonts w:eastAsia="Times New Roman" w:cs="Times New Roman"/>
                <w:bCs/>
                <w:color w:val="000000"/>
                <w:sz w:val="24"/>
                <w:szCs w:val="24"/>
                <w:lang w:bidi="hi-IN"/>
              </w:rPr>
              <w:t>44</w:t>
            </w:r>
          </w:p>
        </w:tc>
        <w:tc>
          <w:tcPr>
            <w:tcW w:w="4902"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jc w:val="both"/>
              <w:rPr>
                <w:rFonts w:eastAsia="Times New Roman" w:cs="Times New Roman"/>
                <w:bCs/>
                <w:color w:val="000000"/>
                <w:sz w:val="24"/>
                <w:szCs w:val="24"/>
                <w:lang w:bidi="hi-IN"/>
              </w:rPr>
            </w:pPr>
            <w:r w:rsidRPr="004A3972">
              <w:rPr>
                <w:rFonts w:eastAsia="Times New Roman" w:cs="Times New Roman"/>
                <w:bCs/>
                <w:color w:val="000000"/>
                <w:sz w:val="24"/>
                <w:szCs w:val="24"/>
                <w:lang w:bidi="hi-IN"/>
              </w:rPr>
              <w:t>Vendor shall furnish details of the back-up technical and systems support that will be available to the Purchaser.</w:t>
            </w:r>
            <w:r w:rsidRPr="003E5507">
              <w:rPr>
                <w:rFonts w:eastAsia="Times New Roman" w:cs="Times New Roman"/>
                <w:bCs/>
                <w:color w:val="000000"/>
                <w:sz w:val="24"/>
                <w:szCs w:val="24"/>
                <w:lang w:bidi="hi-IN"/>
              </w:rPr>
              <w:t xml:space="preserve"> Vendor shall provide the necessary back up support to maintain the desired SLAs</w:t>
            </w:r>
          </w:p>
        </w:tc>
        <w:tc>
          <w:tcPr>
            <w:tcW w:w="4888"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jc w:val="both"/>
              <w:rPr>
                <w:rFonts w:eastAsia="Times New Roman" w:cs="Times New Roman"/>
                <w:bCs/>
                <w:color w:val="000000"/>
                <w:sz w:val="24"/>
                <w:szCs w:val="24"/>
                <w:lang w:bidi="hi-IN"/>
              </w:rPr>
            </w:pPr>
            <w:r w:rsidRPr="003E5507">
              <w:rPr>
                <w:rFonts w:eastAsia="Times New Roman" w:cs="Times New Roman"/>
                <w:bCs/>
                <w:color w:val="000000"/>
                <w:sz w:val="24"/>
                <w:szCs w:val="24"/>
                <w:lang w:bidi="hi-IN"/>
              </w:rPr>
              <w:t>Vendor shall provide the necessary back up support to maintain the desired SLAs</w:t>
            </w:r>
          </w:p>
        </w:tc>
      </w:tr>
      <w:tr w:rsidR="0013521D"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13521D" w:rsidRPr="00505CB5" w:rsidRDefault="00CC23A2" w:rsidP="0013521D">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7</w:t>
            </w:r>
          </w:p>
        </w:tc>
        <w:tc>
          <w:tcPr>
            <w:tcW w:w="1701" w:type="dxa"/>
            <w:tcBorders>
              <w:top w:val="single" w:sz="4" w:space="0" w:color="auto"/>
              <w:left w:val="nil"/>
              <w:bottom w:val="single" w:sz="4" w:space="0" w:color="auto"/>
              <w:right w:val="single" w:sz="4" w:space="0" w:color="auto"/>
            </w:tcBorders>
            <w:shd w:val="clear" w:color="auto" w:fill="auto"/>
            <w:hideMark/>
          </w:tcPr>
          <w:p w:rsidR="0013521D" w:rsidRPr="00505CB5" w:rsidRDefault="0013521D" w:rsidP="0013521D">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5.1 (5)</w:t>
            </w:r>
          </w:p>
        </w:tc>
        <w:tc>
          <w:tcPr>
            <w:tcW w:w="993" w:type="dxa"/>
            <w:tcBorders>
              <w:top w:val="single" w:sz="4" w:space="0" w:color="auto"/>
              <w:left w:val="nil"/>
              <w:bottom w:val="single" w:sz="4" w:space="0" w:color="auto"/>
              <w:right w:val="single" w:sz="4" w:space="0" w:color="auto"/>
            </w:tcBorders>
            <w:shd w:val="clear" w:color="auto" w:fill="auto"/>
            <w:hideMark/>
          </w:tcPr>
          <w:p w:rsidR="0013521D" w:rsidRPr="00505CB5" w:rsidRDefault="0013521D" w:rsidP="0013521D">
            <w:pPr>
              <w:spacing w:line="240" w:lineRule="auto"/>
              <w:ind w:left="-108"/>
              <w:rPr>
                <w:rFonts w:eastAsia="Times New Roman" w:cs="Times New Roman"/>
                <w:bCs/>
                <w:color w:val="000000"/>
                <w:sz w:val="24"/>
                <w:szCs w:val="24"/>
                <w:lang w:bidi="hi-IN"/>
              </w:rPr>
            </w:pPr>
            <w:r w:rsidRPr="00505CB5">
              <w:rPr>
                <w:rFonts w:eastAsia="Times New Roman" w:cs="Times New Roman"/>
                <w:bCs/>
                <w:color w:val="000000"/>
                <w:sz w:val="24"/>
                <w:szCs w:val="24"/>
                <w:lang w:bidi="hi-IN"/>
              </w:rPr>
              <w:t>53</w:t>
            </w:r>
          </w:p>
        </w:tc>
        <w:tc>
          <w:tcPr>
            <w:tcW w:w="4902" w:type="dxa"/>
            <w:tcBorders>
              <w:top w:val="single" w:sz="4" w:space="0" w:color="auto"/>
              <w:left w:val="nil"/>
              <w:bottom w:val="single" w:sz="4" w:space="0" w:color="auto"/>
              <w:right w:val="single" w:sz="4" w:space="0" w:color="auto"/>
            </w:tcBorders>
            <w:shd w:val="clear" w:color="auto" w:fill="auto"/>
            <w:hideMark/>
          </w:tcPr>
          <w:p w:rsidR="0013521D" w:rsidRPr="00505CB5" w:rsidRDefault="004A3972" w:rsidP="00877F64">
            <w:pPr>
              <w:spacing w:line="240" w:lineRule="auto"/>
              <w:jc w:val="both"/>
              <w:rPr>
                <w:rFonts w:eastAsia="Times New Roman" w:cs="Times New Roman"/>
                <w:bCs/>
                <w:color w:val="000000"/>
                <w:sz w:val="24"/>
                <w:szCs w:val="24"/>
                <w:lang w:bidi="hi-IN"/>
              </w:rPr>
            </w:pPr>
            <w:r w:rsidRPr="004A3972">
              <w:rPr>
                <w:rFonts w:eastAsia="Times New Roman" w:cs="Times New Roman"/>
                <w:bCs/>
                <w:color w:val="000000"/>
                <w:sz w:val="24"/>
                <w:szCs w:val="24"/>
                <w:lang w:bidi="hi-IN"/>
              </w:rPr>
              <w:t xml:space="preserve">Timeframe for laying of optical </w:t>
            </w:r>
            <w:proofErr w:type="spellStart"/>
            <w:r w:rsidRPr="004A3972">
              <w:rPr>
                <w:rFonts w:eastAsia="Times New Roman" w:cs="Times New Roman"/>
                <w:bCs/>
                <w:color w:val="000000"/>
                <w:sz w:val="24"/>
                <w:szCs w:val="24"/>
                <w:lang w:bidi="hi-IN"/>
              </w:rPr>
              <w:t>fiber</w:t>
            </w:r>
            <w:proofErr w:type="spellEnd"/>
            <w:r w:rsidRPr="004A3972">
              <w:rPr>
                <w:rFonts w:eastAsia="Times New Roman" w:cs="Times New Roman"/>
                <w:bCs/>
                <w:color w:val="000000"/>
                <w:sz w:val="24"/>
                <w:szCs w:val="24"/>
                <w:lang w:bidi="hi-IN"/>
              </w:rPr>
              <w:t xml:space="preserve"> NLD backbone from end-to-end (including service provider’s link to UIDAI location) shall be 8 weeks.</w:t>
            </w:r>
          </w:p>
        </w:tc>
        <w:tc>
          <w:tcPr>
            <w:tcW w:w="4888" w:type="dxa"/>
            <w:tcBorders>
              <w:top w:val="single" w:sz="4" w:space="0" w:color="auto"/>
              <w:left w:val="nil"/>
              <w:bottom w:val="single" w:sz="4" w:space="0" w:color="auto"/>
              <w:right w:val="single" w:sz="4" w:space="0" w:color="auto"/>
            </w:tcBorders>
            <w:shd w:val="clear" w:color="auto" w:fill="auto"/>
            <w:hideMark/>
          </w:tcPr>
          <w:p w:rsidR="0013521D" w:rsidRPr="004A3972" w:rsidRDefault="004A3972" w:rsidP="004A3972">
            <w:pPr>
              <w:spacing w:line="240" w:lineRule="auto"/>
              <w:jc w:val="both"/>
              <w:rPr>
                <w:lang w:bidi="hi-IN"/>
              </w:rPr>
            </w:pPr>
            <w:r w:rsidRPr="004A3972">
              <w:rPr>
                <w:rFonts w:eastAsia="Times New Roman" w:cs="Times New Roman"/>
                <w:bCs/>
                <w:color w:val="000000"/>
                <w:sz w:val="24"/>
                <w:szCs w:val="24"/>
                <w:lang w:bidi="hi-IN"/>
              </w:rPr>
              <w:t xml:space="preserve">Timeframe for laying of optical </w:t>
            </w:r>
            <w:proofErr w:type="spellStart"/>
            <w:r w:rsidRPr="004A3972">
              <w:rPr>
                <w:rFonts w:eastAsia="Times New Roman" w:cs="Times New Roman"/>
                <w:bCs/>
                <w:color w:val="000000"/>
                <w:sz w:val="24"/>
                <w:szCs w:val="24"/>
                <w:lang w:bidi="hi-IN"/>
              </w:rPr>
              <w:t>fiber</w:t>
            </w:r>
            <w:proofErr w:type="spellEnd"/>
            <w:r w:rsidRPr="004A3972">
              <w:rPr>
                <w:rFonts w:eastAsia="Times New Roman" w:cs="Times New Roman"/>
                <w:bCs/>
                <w:color w:val="000000"/>
                <w:sz w:val="24"/>
                <w:szCs w:val="24"/>
                <w:lang w:bidi="hi-IN"/>
              </w:rPr>
              <w:t xml:space="preserve"> NLD backbone from end-to-end (including service provider’s link to UIDAI location) shall be </w:t>
            </w:r>
            <w:r w:rsidRPr="004A3972">
              <w:rPr>
                <w:rFonts w:eastAsia="Times New Roman" w:cs="Times New Roman"/>
                <w:b/>
                <w:color w:val="000000"/>
                <w:sz w:val="24"/>
                <w:szCs w:val="24"/>
                <w:lang w:bidi="hi-IN"/>
              </w:rPr>
              <w:t>12</w:t>
            </w:r>
            <w:r w:rsidRPr="004A3972">
              <w:rPr>
                <w:rFonts w:eastAsia="Times New Roman" w:cs="Times New Roman"/>
                <w:bCs/>
                <w:color w:val="000000"/>
                <w:sz w:val="24"/>
                <w:szCs w:val="24"/>
                <w:lang w:bidi="hi-IN"/>
              </w:rPr>
              <w:t xml:space="preserve"> weeks.</w:t>
            </w: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8</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5.1(9)</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sidRPr="00505CB5">
              <w:rPr>
                <w:rFonts w:eastAsia="Times New Roman" w:cs="Times New Roman"/>
                <w:bCs/>
                <w:color w:val="000000"/>
                <w:sz w:val="24"/>
                <w:szCs w:val="24"/>
                <w:lang w:bidi="hi-IN"/>
              </w:rPr>
              <w:t>53</w:t>
            </w:r>
          </w:p>
        </w:tc>
        <w:tc>
          <w:tcPr>
            <w:tcW w:w="4902"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jc w:val="both"/>
              <w:rPr>
                <w:rFonts w:eastAsia="Times New Roman" w:cs="Times New Roman"/>
                <w:bCs/>
                <w:color w:val="000000"/>
                <w:sz w:val="24"/>
                <w:szCs w:val="24"/>
                <w:lang w:bidi="hi-IN"/>
              </w:rPr>
            </w:pPr>
            <w:r w:rsidRPr="00505CB5">
              <w:rPr>
                <w:rFonts w:eastAsia="Times New Roman" w:cs="Times New Roman"/>
                <w:bCs/>
                <w:color w:val="000000"/>
                <w:sz w:val="24"/>
                <w:szCs w:val="24"/>
                <w:lang w:bidi="hi-IN"/>
              </w:rPr>
              <w:t xml:space="preserve">Mechanism for logging of complaints related to connectivity /routing problems at any point of time during the 24x7 basis service period including contact details of </w:t>
            </w:r>
            <w:r w:rsidRPr="004A3972">
              <w:rPr>
                <w:rFonts w:eastAsia="Times New Roman" w:cs="Times New Roman"/>
                <w:bCs/>
                <w:color w:val="000000"/>
                <w:sz w:val="24"/>
                <w:szCs w:val="24"/>
                <w:lang w:bidi="hi-IN"/>
              </w:rPr>
              <w:t>NOC engineers like telephone numbers, name, e-mail, fax, address etc. shall be submitted to UIDAI.</w:t>
            </w:r>
          </w:p>
        </w:tc>
        <w:tc>
          <w:tcPr>
            <w:tcW w:w="4888"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jc w:val="both"/>
              <w:rPr>
                <w:rFonts w:eastAsia="Times New Roman" w:cs="Times New Roman"/>
                <w:bCs/>
                <w:color w:val="000000"/>
                <w:sz w:val="24"/>
                <w:szCs w:val="24"/>
                <w:lang w:bidi="hi-IN"/>
              </w:rPr>
            </w:pPr>
            <w:r w:rsidRPr="00505CB5">
              <w:rPr>
                <w:rFonts w:eastAsia="Times New Roman" w:cs="Times New Roman"/>
                <w:bCs/>
                <w:color w:val="000000"/>
                <w:sz w:val="24"/>
                <w:szCs w:val="24"/>
                <w:lang w:bidi="hi-IN"/>
              </w:rPr>
              <w:t xml:space="preserve">Mechanism for logging of complaints related to connectivity /routing problems at any point of time during the 24x7 basis service period including contact details of </w:t>
            </w:r>
            <w:r w:rsidRPr="00505CB5">
              <w:rPr>
                <w:rFonts w:eastAsia="Times New Roman" w:cs="Times New Roman"/>
                <w:b/>
                <w:color w:val="000000"/>
                <w:sz w:val="24"/>
                <w:szCs w:val="24"/>
                <w:lang w:bidi="hi-IN"/>
              </w:rPr>
              <w:t>Service Desk or Toll Free No. shall be submitted to UIDAI. However, Vendor must share escalation matrix with UIDAI, along with details of NOC engineers like telephone numbers, name, e-mail, fax, address etc. shall be submitted to UIDAI.</w:t>
            </w:r>
          </w:p>
        </w:tc>
      </w:tr>
      <w:tr w:rsidR="00DA01E2" w:rsidRPr="00505CB5" w:rsidTr="00DC1438">
        <w:trPr>
          <w:jc w:val="center"/>
        </w:trPr>
        <w:tc>
          <w:tcPr>
            <w:tcW w:w="795" w:type="dxa"/>
            <w:tcBorders>
              <w:top w:val="single" w:sz="4" w:space="0" w:color="auto"/>
              <w:left w:val="single" w:sz="4" w:space="0" w:color="auto"/>
              <w:bottom w:val="single" w:sz="4" w:space="0" w:color="auto"/>
              <w:right w:val="single" w:sz="4" w:space="0" w:color="auto"/>
            </w:tcBorders>
            <w:shd w:val="clear" w:color="auto" w:fill="auto"/>
            <w:hideMark/>
          </w:tcPr>
          <w:p w:rsidR="00DA01E2" w:rsidRPr="00505CB5" w:rsidRDefault="00CC23A2" w:rsidP="00C67725">
            <w:pPr>
              <w:spacing w:line="240" w:lineRule="auto"/>
              <w:rPr>
                <w:rFonts w:eastAsia="Times New Roman" w:cs="Times New Roman"/>
                <w:bCs/>
                <w:color w:val="000000"/>
                <w:sz w:val="24"/>
                <w:szCs w:val="24"/>
                <w:lang w:bidi="hi-IN"/>
              </w:rPr>
            </w:pPr>
            <w:r>
              <w:rPr>
                <w:rFonts w:eastAsia="Times New Roman" w:cs="Times New Roman"/>
                <w:bCs/>
                <w:color w:val="000000"/>
                <w:sz w:val="24"/>
                <w:szCs w:val="24"/>
                <w:lang w:bidi="hi-IN"/>
              </w:rPr>
              <w:t>9</w:t>
            </w:r>
          </w:p>
        </w:tc>
        <w:tc>
          <w:tcPr>
            <w:tcW w:w="1701"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80"/>
              <w:rPr>
                <w:rFonts w:eastAsia="Times New Roman" w:cs="Times New Roman"/>
                <w:bCs/>
                <w:color w:val="000000"/>
                <w:sz w:val="24"/>
                <w:szCs w:val="24"/>
                <w:lang w:bidi="hi-IN"/>
              </w:rPr>
            </w:pPr>
            <w:r w:rsidRPr="00505CB5">
              <w:rPr>
                <w:rFonts w:eastAsia="Times New Roman" w:cs="Times New Roman"/>
                <w:bCs/>
                <w:color w:val="000000"/>
                <w:sz w:val="24"/>
                <w:szCs w:val="24"/>
                <w:lang w:bidi="hi-IN"/>
              </w:rPr>
              <w:t>5.2</w:t>
            </w:r>
          </w:p>
        </w:tc>
        <w:tc>
          <w:tcPr>
            <w:tcW w:w="993" w:type="dxa"/>
            <w:tcBorders>
              <w:top w:val="single" w:sz="4" w:space="0" w:color="auto"/>
              <w:left w:val="nil"/>
              <w:bottom w:val="single" w:sz="4" w:space="0" w:color="auto"/>
              <w:right w:val="single" w:sz="4" w:space="0" w:color="auto"/>
            </w:tcBorders>
            <w:shd w:val="clear" w:color="auto" w:fill="auto"/>
            <w:hideMark/>
          </w:tcPr>
          <w:p w:rsidR="00DA01E2" w:rsidRPr="00505CB5" w:rsidRDefault="00DA01E2" w:rsidP="00C67725">
            <w:pPr>
              <w:spacing w:line="240" w:lineRule="auto"/>
              <w:ind w:left="-108"/>
              <w:rPr>
                <w:rFonts w:eastAsia="Times New Roman" w:cs="Times New Roman"/>
                <w:bCs/>
                <w:color w:val="000000"/>
                <w:sz w:val="24"/>
                <w:szCs w:val="24"/>
                <w:lang w:bidi="hi-IN"/>
              </w:rPr>
            </w:pPr>
            <w:r w:rsidRPr="00505CB5">
              <w:rPr>
                <w:rFonts w:eastAsia="Times New Roman" w:cs="Times New Roman"/>
                <w:bCs/>
                <w:color w:val="000000"/>
                <w:sz w:val="24"/>
                <w:szCs w:val="24"/>
                <w:lang w:bidi="hi-IN"/>
              </w:rPr>
              <w:t>54</w:t>
            </w:r>
          </w:p>
        </w:tc>
        <w:tc>
          <w:tcPr>
            <w:tcW w:w="4902" w:type="dxa"/>
            <w:tcBorders>
              <w:top w:val="single" w:sz="4" w:space="0" w:color="auto"/>
              <w:left w:val="nil"/>
              <w:bottom w:val="single" w:sz="4" w:space="0" w:color="auto"/>
              <w:right w:val="single" w:sz="4" w:space="0" w:color="auto"/>
            </w:tcBorders>
            <w:shd w:val="clear" w:color="auto" w:fill="auto"/>
            <w:hideMark/>
          </w:tcPr>
          <w:p w:rsidR="00DA01E2" w:rsidRPr="00505CB5" w:rsidRDefault="004A3972" w:rsidP="00C67725">
            <w:pPr>
              <w:spacing w:line="240" w:lineRule="auto"/>
              <w:jc w:val="both"/>
              <w:rPr>
                <w:sz w:val="24"/>
                <w:szCs w:val="24"/>
              </w:rPr>
            </w:pPr>
            <w:r w:rsidRPr="004A3972">
              <w:rPr>
                <w:sz w:val="24"/>
                <w:szCs w:val="24"/>
              </w:rPr>
              <w:t xml:space="preserve">The Service Provider should ensure readiness of services of point-to-point 100 Mbps dedicated leased line telecom services (i.e. Amravati (AP) DC to </w:t>
            </w:r>
            <w:proofErr w:type="spellStart"/>
            <w:r w:rsidRPr="004A3972">
              <w:rPr>
                <w:sz w:val="24"/>
                <w:szCs w:val="24"/>
              </w:rPr>
              <w:t>Hebbal</w:t>
            </w:r>
            <w:proofErr w:type="spellEnd"/>
            <w:r w:rsidRPr="004A3972">
              <w:rPr>
                <w:sz w:val="24"/>
                <w:szCs w:val="24"/>
              </w:rPr>
              <w:t xml:space="preserve"> DC, for acceptance of the UIDAI) within </w:t>
            </w:r>
            <w:r w:rsidRPr="004A3972">
              <w:rPr>
                <w:b/>
                <w:bCs/>
                <w:sz w:val="24"/>
                <w:szCs w:val="24"/>
              </w:rPr>
              <w:t>8 (eight)</w:t>
            </w:r>
            <w:r w:rsidRPr="004A3972">
              <w:rPr>
                <w:sz w:val="24"/>
                <w:szCs w:val="24"/>
              </w:rPr>
              <w:t xml:space="preserve"> weeks from the date of </w:t>
            </w:r>
            <w:r w:rsidRPr="004A3972">
              <w:rPr>
                <w:sz w:val="24"/>
                <w:szCs w:val="24"/>
              </w:rPr>
              <w:lastRenderedPageBreak/>
              <w:t>acceptance of Notification of award by bidder.</w:t>
            </w:r>
          </w:p>
        </w:tc>
        <w:tc>
          <w:tcPr>
            <w:tcW w:w="4888" w:type="dxa"/>
            <w:tcBorders>
              <w:top w:val="single" w:sz="4" w:space="0" w:color="auto"/>
              <w:left w:val="nil"/>
              <w:bottom w:val="single" w:sz="4" w:space="0" w:color="auto"/>
              <w:right w:val="single" w:sz="4" w:space="0" w:color="auto"/>
            </w:tcBorders>
            <w:shd w:val="clear" w:color="auto" w:fill="auto"/>
            <w:hideMark/>
          </w:tcPr>
          <w:p w:rsidR="00DA01E2" w:rsidRPr="00505CB5" w:rsidRDefault="004A3972" w:rsidP="004A3972">
            <w:pPr>
              <w:spacing w:line="240" w:lineRule="auto"/>
              <w:jc w:val="both"/>
              <w:rPr>
                <w:sz w:val="24"/>
                <w:szCs w:val="24"/>
              </w:rPr>
            </w:pPr>
            <w:r w:rsidRPr="004A3972">
              <w:rPr>
                <w:sz w:val="24"/>
                <w:szCs w:val="24"/>
              </w:rPr>
              <w:lastRenderedPageBreak/>
              <w:t xml:space="preserve">The Service Provider should ensure readiness of services of point-to-point 100 Mbps dedicated leased line telecom services (i.e. Amravati (AP) DC to </w:t>
            </w:r>
            <w:proofErr w:type="spellStart"/>
            <w:r w:rsidRPr="004A3972">
              <w:rPr>
                <w:sz w:val="24"/>
                <w:szCs w:val="24"/>
              </w:rPr>
              <w:t>Hebbal</w:t>
            </w:r>
            <w:proofErr w:type="spellEnd"/>
            <w:r w:rsidRPr="004A3972">
              <w:rPr>
                <w:sz w:val="24"/>
                <w:szCs w:val="24"/>
              </w:rPr>
              <w:t xml:space="preserve"> DC, for acceptance of the UIDAI) within </w:t>
            </w:r>
            <w:r>
              <w:rPr>
                <w:b/>
                <w:bCs/>
                <w:sz w:val="24"/>
                <w:szCs w:val="24"/>
              </w:rPr>
              <w:t>12</w:t>
            </w:r>
            <w:r w:rsidRPr="004A3972">
              <w:rPr>
                <w:b/>
                <w:bCs/>
                <w:sz w:val="24"/>
                <w:szCs w:val="24"/>
              </w:rPr>
              <w:t xml:space="preserve"> (t</w:t>
            </w:r>
            <w:r>
              <w:rPr>
                <w:b/>
                <w:bCs/>
                <w:sz w:val="24"/>
                <w:szCs w:val="24"/>
              </w:rPr>
              <w:t>welve</w:t>
            </w:r>
            <w:r w:rsidRPr="004A3972">
              <w:rPr>
                <w:b/>
                <w:bCs/>
                <w:sz w:val="24"/>
                <w:szCs w:val="24"/>
              </w:rPr>
              <w:t>)</w:t>
            </w:r>
            <w:r w:rsidRPr="004A3972">
              <w:rPr>
                <w:sz w:val="24"/>
                <w:szCs w:val="24"/>
              </w:rPr>
              <w:t xml:space="preserve"> weeks from </w:t>
            </w:r>
            <w:r w:rsidRPr="004A3972">
              <w:rPr>
                <w:sz w:val="24"/>
                <w:szCs w:val="24"/>
              </w:rPr>
              <w:lastRenderedPageBreak/>
              <w:t>the date of acceptance of Notification of award by bidder.</w:t>
            </w:r>
          </w:p>
        </w:tc>
      </w:tr>
    </w:tbl>
    <w:p w:rsidR="00876423" w:rsidRPr="004054F0" w:rsidRDefault="00876423" w:rsidP="004054F0">
      <w:pPr>
        <w:spacing w:line="240" w:lineRule="auto"/>
        <w:jc w:val="center"/>
        <w:rPr>
          <w:sz w:val="24"/>
          <w:szCs w:val="24"/>
          <w:u w:val="single"/>
        </w:rPr>
      </w:pPr>
    </w:p>
    <w:sectPr w:rsidR="00876423" w:rsidRPr="004054F0" w:rsidSect="000454C5">
      <w:pgSz w:w="16838" w:h="11906" w:orient="landscape"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A66C6"/>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02B38AF"/>
    <w:multiLevelType w:val="hybridMultilevel"/>
    <w:tmpl w:val="8D28B1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854AA9"/>
    <w:multiLevelType w:val="multilevel"/>
    <w:tmpl w:val="DA1A9E80"/>
    <w:lvl w:ilvl="0">
      <w:start w:val="1"/>
      <w:numFmt w:val="decimal"/>
      <w:lvlText w:val="%1."/>
      <w:lvlJc w:val="left"/>
      <w:pPr>
        <w:ind w:left="1440" w:firstLine="0"/>
      </w:pPr>
    </w:lvl>
    <w:lvl w:ilvl="1">
      <w:start w:val="1"/>
      <w:numFmt w:val="lowerLetter"/>
      <w:lvlText w:val="%2."/>
      <w:lvlJc w:val="left"/>
      <w:pPr>
        <w:ind w:left="2160" w:firstLine="0"/>
      </w:pPr>
    </w:lvl>
    <w:lvl w:ilvl="2">
      <w:start w:val="1"/>
      <w:numFmt w:val="lowerRoman"/>
      <w:lvlText w:val="%3."/>
      <w:lvlJc w:val="right"/>
      <w:pPr>
        <w:ind w:left="2880" w:firstLine="0"/>
      </w:pPr>
    </w:lvl>
    <w:lvl w:ilvl="3">
      <w:start w:val="1"/>
      <w:numFmt w:val="decimal"/>
      <w:lvlText w:val="%4."/>
      <w:lvlJc w:val="left"/>
      <w:pPr>
        <w:ind w:left="3600" w:firstLine="0"/>
      </w:pPr>
    </w:lvl>
    <w:lvl w:ilvl="4">
      <w:start w:val="1"/>
      <w:numFmt w:val="lowerLetter"/>
      <w:lvlText w:val="%5."/>
      <w:lvlJc w:val="left"/>
      <w:pPr>
        <w:ind w:left="4320" w:firstLine="0"/>
      </w:pPr>
    </w:lvl>
    <w:lvl w:ilvl="5">
      <w:start w:val="1"/>
      <w:numFmt w:val="lowerRoman"/>
      <w:lvlText w:val="%6."/>
      <w:lvlJc w:val="right"/>
      <w:pPr>
        <w:ind w:left="5040" w:firstLine="0"/>
      </w:pPr>
    </w:lvl>
    <w:lvl w:ilvl="6">
      <w:start w:val="1"/>
      <w:numFmt w:val="decimal"/>
      <w:lvlText w:val="%7."/>
      <w:lvlJc w:val="left"/>
      <w:pPr>
        <w:ind w:left="5760" w:firstLine="0"/>
      </w:pPr>
    </w:lvl>
    <w:lvl w:ilvl="7">
      <w:start w:val="1"/>
      <w:numFmt w:val="lowerLetter"/>
      <w:lvlText w:val="%8."/>
      <w:lvlJc w:val="left"/>
      <w:pPr>
        <w:ind w:left="6480" w:firstLine="0"/>
      </w:pPr>
    </w:lvl>
    <w:lvl w:ilvl="8">
      <w:start w:val="1"/>
      <w:numFmt w:val="lowerRoman"/>
      <w:lvlText w:val="%9."/>
      <w:lvlJc w:val="right"/>
      <w:pPr>
        <w:ind w:left="7200" w:firstLine="0"/>
      </w:pPr>
    </w:lvl>
  </w:abstractNum>
  <w:abstractNum w:abstractNumId="3">
    <w:nsid w:val="3635490B"/>
    <w:multiLevelType w:val="hybridMultilevel"/>
    <w:tmpl w:val="610EEC3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3BB5540E"/>
    <w:multiLevelType w:val="multilevel"/>
    <w:tmpl w:val="AD52D3A0"/>
    <w:lvl w:ilvl="0">
      <w:start w:val="1"/>
      <w:numFmt w:val="decimal"/>
      <w:lvlText w:val="%1"/>
      <w:lvlJc w:val="left"/>
      <w:pPr>
        <w:ind w:left="625" w:hanging="625"/>
      </w:pPr>
      <w:rPr>
        <w:rFonts w:hint="default"/>
      </w:rPr>
    </w:lvl>
    <w:lvl w:ilvl="1">
      <w:start w:val="1"/>
      <w:numFmt w:val="decimal"/>
      <w:lvlText w:val="%2."/>
      <w:lvlJc w:val="left"/>
      <w:pPr>
        <w:ind w:left="715" w:hanging="62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
    <w:nsid w:val="410064E7"/>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9592D47"/>
    <w:multiLevelType w:val="hybridMultilevel"/>
    <w:tmpl w:val="82C06C18"/>
    <w:lvl w:ilvl="0" w:tplc="0409001B">
      <w:start w:val="1"/>
      <w:numFmt w:val="lowerRoman"/>
      <w:lvlText w:val="%1."/>
      <w:lvlJc w:val="right"/>
      <w:pPr>
        <w:ind w:left="144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D904240"/>
    <w:multiLevelType w:val="hybridMultilevel"/>
    <w:tmpl w:val="9460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53A48DC"/>
    <w:multiLevelType w:val="hybridMultilevel"/>
    <w:tmpl w:val="8898919E"/>
    <w:lvl w:ilvl="0" w:tplc="04090017">
      <w:start w:val="1"/>
      <w:numFmt w:val="lowerLetter"/>
      <w:lvlText w:val="%1)"/>
      <w:lvlJc w:val="left"/>
      <w:pPr>
        <w:ind w:left="1440" w:hanging="360"/>
      </w:pPr>
    </w:lvl>
    <w:lvl w:ilvl="1" w:tplc="04090019">
      <w:start w:val="1"/>
      <w:numFmt w:val="decimal"/>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9">
    <w:nsid w:val="58D0632B"/>
    <w:multiLevelType w:val="hybridMultilevel"/>
    <w:tmpl w:val="B79EC7A4"/>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2DD5856"/>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B274A7"/>
    <w:multiLevelType w:val="multilevel"/>
    <w:tmpl w:val="FE64036A"/>
    <w:lvl w:ilvl="0">
      <w:start w:val="1"/>
      <w:numFmt w:val="decimal"/>
      <w:lvlText w:val="%1."/>
      <w:lvlJc w:val="left"/>
      <w:pPr>
        <w:ind w:left="720" w:firstLine="0"/>
      </w:pPr>
    </w:lvl>
    <w:lvl w:ilvl="1">
      <w:start w:val="1"/>
      <w:numFmt w:val="lowerRoman"/>
      <w:lvlText w:val="%2."/>
      <w:lvlJc w:val="right"/>
      <w:pPr>
        <w:ind w:left="1440" w:firstLine="0"/>
      </w:pPr>
    </w:lvl>
    <w:lvl w:ilvl="2">
      <w:start w:val="1"/>
      <w:numFmt w:val="decimal"/>
      <w:lvlText w:val="%3."/>
      <w:lvlJc w:val="lef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12">
    <w:nsid w:val="7EC64DBD"/>
    <w:multiLevelType w:val="hybridMultilevel"/>
    <w:tmpl w:val="889891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1"/>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569CF"/>
    <w:rsid w:val="0000296F"/>
    <w:rsid w:val="00003A77"/>
    <w:rsid w:val="000147F2"/>
    <w:rsid w:val="00023554"/>
    <w:rsid w:val="000454C5"/>
    <w:rsid w:val="00051AA1"/>
    <w:rsid w:val="00055D88"/>
    <w:rsid w:val="00060750"/>
    <w:rsid w:val="000809C8"/>
    <w:rsid w:val="00092B88"/>
    <w:rsid w:val="00093DDB"/>
    <w:rsid w:val="00096E7D"/>
    <w:rsid w:val="000B1505"/>
    <w:rsid w:val="000E0334"/>
    <w:rsid w:val="000E40F1"/>
    <w:rsid w:val="000F2FEE"/>
    <w:rsid w:val="000F6F6C"/>
    <w:rsid w:val="000F715A"/>
    <w:rsid w:val="0010532C"/>
    <w:rsid w:val="0013521D"/>
    <w:rsid w:val="001411CC"/>
    <w:rsid w:val="0014724D"/>
    <w:rsid w:val="00160E91"/>
    <w:rsid w:val="00165B5F"/>
    <w:rsid w:val="00174F1F"/>
    <w:rsid w:val="001842B2"/>
    <w:rsid w:val="001B19D7"/>
    <w:rsid w:val="001C1DC0"/>
    <w:rsid w:val="001D6608"/>
    <w:rsid w:val="001E2790"/>
    <w:rsid w:val="001F0D39"/>
    <w:rsid w:val="001F3BA7"/>
    <w:rsid w:val="001F432A"/>
    <w:rsid w:val="00217028"/>
    <w:rsid w:val="0025612F"/>
    <w:rsid w:val="0025731F"/>
    <w:rsid w:val="00262246"/>
    <w:rsid w:val="00264E28"/>
    <w:rsid w:val="00265179"/>
    <w:rsid w:val="002717FB"/>
    <w:rsid w:val="00271F13"/>
    <w:rsid w:val="00272EF9"/>
    <w:rsid w:val="00276E7A"/>
    <w:rsid w:val="00285228"/>
    <w:rsid w:val="0029452B"/>
    <w:rsid w:val="002B7484"/>
    <w:rsid w:val="002C3610"/>
    <w:rsid w:val="002D1EE1"/>
    <w:rsid w:val="00310888"/>
    <w:rsid w:val="00312B9F"/>
    <w:rsid w:val="0031367C"/>
    <w:rsid w:val="00315EA1"/>
    <w:rsid w:val="00345503"/>
    <w:rsid w:val="0035562E"/>
    <w:rsid w:val="003569E1"/>
    <w:rsid w:val="00357DD4"/>
    <w:rsid w:val="00377729"/>
    <w:rsid w:val="00394412"/>
    <w:rsid w:val="0039471F"/>
    <w:rsid w:val="003A53EF"/>
    <w:rsid w:val="003E5507"/>
    <w:rsid w:val="004001D9"/>
    <w:rsid w:val="00403552"/>
    <w:rsid w:val="004054F0"/>
    <w:rsid w:val="00415472"/>
    <w:rsid w:val="004329F0"/>
    <w:rsid w:val="0044476A"/>
    <w:rsid w:val="00453B5E"/>
    <w:rsid w:val="00480A72"/>
    <w:rsid w:val="004A1B68"/>
    <w:rsid w:val="004A3972"/>
    <w:rsid w:val="004A66D6"/>
    <w:rsid w:val="004A7358"/>
    <w:rsid w:val="004A7BA6"/>
    <w:rsid w:val="004D2E11"/>
    <w:rsid w:val="004D3C1B"/>
    <w:rsid w:val="004D77F7"/>
    <w:rsid w:val="004E0D49"/>
    <w:rsid w:val="00505CB5"/>
    <w:rsid w:val="005173A8"/>
    <w:rsid w:val="0054362A"/>
    <w:rsid w:val="0054496D"/>
    <w:rsid w:val="005454E2"/>
    <w:rsid w:val="00545C04"/>
    <w:rsid w:val="005640DB"/>
    <w:rsid w:val="00573CA0"/>
    <w:rsid w:val="00592805"/>
    <w:rsid w:val="005A3EC2"/>
    <w:rsid w:val="005C3087"/>
    <w:rsid w:val="005C3DC9"/>
    <w:rsid w:val="005C504C"/>
    <w:rsid w:val="005D6C24"/>
    <w:rsid w:val="005F7B36"/>
    <w:rsid w:val="00606D51"/>
    <w:rsid w:val="006101CB"/>
    <w:rsid w:val="0061482D"/>
    <w:rsid w:val="00633C0C"/>
    <w:rsid w:val="00650DCB"/>
    <w:rsid w:val="00650E61"/>
    <w:rsid w:val="006606D4"/>
    <w:rsid w:val="00674E4C"/>
    <w:rsid w:val="006F205A"/>
    <w:rsid w:val="006F69A7"/>
    <w:rsid w:val="007219EC"/>
    <w:rsid w:val="00726BB5"/>
    <w:rsid w:val="007348EF"/>
    <w:rsid w:val="007349D1"/>
    <w:rsid w:val="00735A7F"/>
    <w:rsid w:val="00745412"/>
    <w:rsid w:val="007471FD"/>
    <w:rsid w:val="00767692"/>
    <w:rsid w:val="00794713"/>
    <w:rsid w:val="007C057A"/>
    <w:rsid w:val="007D4EED"/>
    <w:rsid w:val="007E7CB5"/>
    <w:rsid w:val="007F2646"/>
    <w:rsid w:val="007F38DE"/>
    <w:rsid w:val="007F472C"/>
    <w:rsid w:val="007F6E5E"/>
    <w:rsid w:val="008056B2"/>
    <w:rsid w:val="00850FCF"/>
    <w:rsid w:val="00862F81"/>
    <w:rsid w:val="008747C3"/>
    <w:rsid w:val="00876423"/>
    <w:rsid w:val="00876CBF"/>
    <w:rsid w:val="00877F64"/>
    <w:rsid w:val="00886456"/>
    <w:rsid w:val="008D5024"/>
    <w:rsid w:val="008E188C"/>
    <w:rsid w:val="008F4E82"/>
    <w:rsid w:val="00912525"/>
    <w:rsid w:val="00913213"/>
    <w:rsid w:val="00923E76"/>
    <w:rsid w:val="00941E71"/>
    <w:rsid w:val="00946E4D"/>
    <w:rsid w:val="009554BD"/>
    <w:rsid w:val="00976087"/>
    <w:rsid w:val="009806BD"/>
    <w:rsid w:val="00987994"/>
    <w:rsid w:val="009D5C0E"/>
    <w:rsid w:val="009E1BCC"/>
    <w:rsid w:val="009E72FC"/>
    <w:rsid w:val="00A10745"/>
    <w:rsid w:val="00A147D2"/>
    <w:rsid w:val="00A30F2F"/>
    <w:rsid w:val="00A41C89"/>
    <w:rsid w:val="00A619C6"/>
    <w:rsid w:val="00A70FD9"/>
    <w:rsid w:val="00A73CA3"/>
    <w:rsid w:val="00AA338A"/>
    <w:rsid w:val="00AB1798"/>
    <w:rsid w:val="00AB74EE"/>
    <w:rsid w:val="00AC14B6"/>
    <w:rsid w:val="00AD3037"/>
    <w:rsid w:val="00B017D0"/>
    <w:rsid w:val="00B15F1C"/>
    <w:rsid w:val="00B20FED"/>
    <w:rsid w:val="00B22BE5"/>
    <w:rsid w:val="00B35D80"/>
    <w:rsid w:val="00B863D8"/>
    <w:rsid w:val="00B95F21"/>
    <w:rsid w:val="00BA7C23"/>
    <w:rsid w:val="00BD49DE"/>
    <w:rsid w:val="00C33933"/>
    <w:rsid w:val="00C4136E"/>
    <w:rsid w:val="00C52FE3"/>
    <w:rsid w:val="00C569CF"/>
    <w:rsid w:val="00C74916"/>
    <w:rsid w:val="00C81BD6"/>
    <w:rsid w:val="00C865BB"/>
    <w:rsid w:val="00CA6382"/>
    <w:rsid w:val="00CA7EAA"/>
    <w:rsid w:val="00CB2F1F"/>
    <w:rsid w:val="00CC23A2"/>
    <w:rsid w:val="00CE75D2"/>
    <w:rsid w:val="00CE760A"/>
    <w:rsid w:val="00D107D0"/>
    <w:rsid w:val="00D26D0A"/>
    <w:rsid w:val="00D4042A"/>
    <w:rsid w:val="00D85B94"/>
    <w:rsid w:val="00DA01E2"/>
    <w:rsid w:val="00DA0352"/>
    <w:rsid w:val="00DC1438"/>
    <w:rsid w:val="00DC2AFC"/>
    <w:rsid w:val="00DC662D"/>
    <w:rsid w:val="00E068CA"/>
    <w:rsid w:val="00E127F4"/>
    <w:rsid w:val="00E24027"/>
    <w:rsid w:val="00E333DD"/>
    <w:rsid w:val="00E42540"/>
    <w:rsid w:val="00E62691"/>
    <w:rsid w:val="00EA66A2"/>
    <w:rsid w:val="00EB1B0D"/>
    <w:rsid w:val="00EC2970"/>
    <w:rsid w:val="00EF10ED"/>
    <w:rsid w:val="00F67622"/>
    <w:rsid w:val="00F9726A"/>
    <w:rsid w:val="00F97787"/>
    <w:rsid w:val="00FB0A7B"/>
    <w:rsid w:val="00FF7B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9CF"/>
    <w:rPr>
      <w:rFonts w:ascii="Tahoma" w:hAnsi="Tahoma" w:cs="Tahoma"/>
      <w:sz w:val="16"/>
      <w:szCs w:val="16"/>
    </w:rPr>
  </w:style>
  <w:style w:type="table" w:styleId="TableGrid">
    <w:name w:val="Table Grid"/>
    <w:basedOn w:val="TableNormal"/>
    <w:uiPriority w:val="59"/>
    <w:rsid w:val="00876423"/>
    <w:pPr>
      <w:spacing w:after="0" w:line="240" w:lineRule="auto"/>
    </w:pPr>
    <w:rPr>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76423"/>
    <w:pPr>
      <w:spacing w:after="0" w:line="240" w:lineRule="auto"/>
      <w:ind w:firstLine="720"/>
      <w:jc w:val="both"/>
    </w:pPr>
    <w:rPr>
      <w:rFonts w:ascii="Calibri" w:eastAsia="Calibri" w:hAnsi="Calibri" w:cs="Times New Roman"/>
      <w:i/>
      <w:iCs/>
      <w:sz w:val="20"/>
      <w:szCs w:val="20"/>
      <w:lang w:val="en-US" w:bidi="en-US"/>
    </w:r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
    <w:basedOn w:val="Normal"/>
    <w:link w:val="ListParagraphChar"/>
    <w:uiPriority w:val="34"/>
    <w:qFormat/>
    <w:rsid w:val="009E72FC"/>
    <w:pPr>
      <w:ind w:left="720"/>
      <w:contextualSpacing/>
    </w:p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locked/>
    <w:rsid w:val="009E72FC"/>
  </w:style>
  <w:style w:type="paragraph" w:styleId="DocumentMap">
    <w:name w:val="Document Map"/>
    <w:basedOn w:val="Normal"/>
    <w:link w:val="DocumentMapChar"/>
    <w:uiPriority w:val="99"/>
    <w:semiHidden/>
    <w:unhideWhenUsed/>
    <w:rsid w:val="00CA638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A6382"/>
    <w:rPr>
      <w:rFonts w:ascii="Tahoma" w:hAnsi="Tahoma" w:cs="Tahoma"/>
      <w:sz w:val="16"/>
      <w:szCs w:val="16"/>
    </w:rPr>
  </w:style>
  <w:style w:type="paragraph" w:styleId="BodyText">
    <w:name w:val="Body Text"/>
    <w:aliases w:val="Body Text Char2 Char,Body Text Char Char Char,Body Text Char1 Char Char Char,Body Text Char Char Char Char Char,Body Text Char1 Char Char Char Char Char,Body Text Char Char Char Char Char Char Char,Body Text Char1 Char1 Char,aaa"/>
    <w:basedOn w:val="Normal"/>
    <w:link w:val="BodyTextChar"/>
    <w:unhideWhenUsed/>
    <w:qFormat/>
    <w:rsid w:val="00E62691"/>
    <w:pPr>
      <w:spacing w:after="240" w:line="240" w:lineRule="atLeast"/>
    </w:pPr>
    <w:rPr>
      <w:rFonts w:ascii="Georgia" w:hAnsi="Georgia"/>
      <w:sz w:val="20"/>
      <w:szCs w:val="20"/>
      <w:lang w:val="en-GB"/>
    </w:rPr>
  </w:style>
  <w:style w:type="character" w:customStyle="1" w:styleId="BodyTextChar">
    <w:name w:val="Body Text Char"/>
    <w:aliases w:val="Body Text Char2 Char Char,Body Text Char Char Char Char,Body Text Char1 Char Char Char Char,Body Text Char Char Char Char Char Char,Body Text Char1 Char Char Char Char Char Char,Body Text Char Char Char Char Char Char Char Char,aaa Char"/>
    <w:basedOn w:val="DefaultParagraphFont"/>
    <w:link w:val="BodyText"/>
    <w:rsid w:val="00E62691"/>
    <w:rPr>
      <w:rFonts w:ascii="Georgia" w:hAnsi="Georgia"/>
      <w:sz w:val="20"/>
      <w:szCs w:val="20"/>
      <w:lang w:val="en-GB"/>
    </w:rPr>
  </w:style>
  <w:style w:type="table" w:customStyle="1" w:styleId="SmartTextTable1">
    <w:name w:val="Smart Text Table1"/>
    <w:basedOn w:val="TableNormal"/>
    <w:uiPriority w:val="59"/>
    <w:rsid w:val="00E62691"/>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50FCF"/>
    <w:pPr>
      <w:autoSpaceDE w:val="0"/>
      <w:autoSpaceDN w:val="0"/>
      <w:adjustRightInd w:val="0"/>
      <w:spacing w:after="0" w:line="240" w:lineRule="auto"/>
    </w:pPr>
    <w:rPr>
      <w:rFonts w:ascii="Calibri" w:hAnsi="Calibri" w:cs="Calibri"/>
      <w:color w:val="000000"/>
      <w:sz w:val="24"/>
      <w:szCs w:val="24"/>
      <w:lang w:val="en-US"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EDD9-29B2-4087-80FE-B097759E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6</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shuja.naik</dc:creator>
  <cp:lastModifiedBy>mukesh_kumar</cp:lastModifiedBy>
  <cp:revision>51</cp:revision>
  <cp:lastPrinted>2018-04-20T07:38:00Z</cp:lastPrinted>
  <dcterms:created xsi:type="dcterms:W3CDTF">2018-04-06T05:13:00Z</dcterms:created>
  <dcterms:modified xsi:type="dcterms:W3CDTF">2018-04-25T09:36:00Z</dcterms:modified>
</cp:coreProperties>
</file>